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C8F" w:rsidRPr="003B5522" w:rsidRDefault="00894C8F" w:rsidP="00CF324B">
      <w:pPr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bookmarkStart w:id="0" w:name="_GoBack"/>
      <w:bookmarkEnd w:id="0"/>
    </w:p>
    <w:p w:rsidR="00CF324B" w:rsidRPr="003B5522" w:rsidRDefault="009025A5" w:rsidP="00CF324B">
      <w:pPr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3B5522">
        <w:rPr>
          <w:rFonts w:ascii="Times New Roman" w:hAnsi="Times New Roman" w:cs="Times New Roman"/>
          <w:b/>
          <w:sz w:val="32"/>
          <w:szCs w:val="32"/>
          <w:lang w:val="en-GB"/>
        </w:rPr>
        <w:t xml:space="preserve">General Regulations Concerning Investments of Income from Management of Rights </w:t>
      </w:r>
    </w:p>
    <w:p w:rsidR="00CF324B" w:rsidRPr="003B5522" w:rsidRDefault="00CF324B" w:rsidP="00CF324B">
      <w:pPr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</w:p>
    <w:p w:rsidR="00036A73" w:rsidRPr="003B5522" w:rsidRDefault="009025A5" w:rsidP="00C110CD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  <w:lang w:val="en-GB"/>
        </w:rPr>
      </w:pPr>
      <w:r w:rsidRPr="003B5522">
        <w:rPr>
          <w:rFonts w:ascii="Times New Roman" w:hAnsi="Times New Roman" w:cs="Times New Roman"/>
          <w:b/>
          <w:lang w:val="en-GB"/>
        </w:rPr>
        <w:t xml:space="preserve">Separation of Income From Management of Rights from the Society’s Own resources </w:t>
      </w:r>
    </w:p>
    <w:p w:rsidR="00036A73" w:rsidRPr="003B5522" w:rsidRDefault="00036A73" w:rsidP="00A603DB">
      <w:pPr>
        <w:pStyle w:val="Default"/>
        <w:rPr>
          <w:rFonts w:ascii="Times New Roman" w:hAnsi="Times New Roman" w:cs="Times New Roman"/>
          <w:b/>
          <w:lang w:val="en-GB"/>
        </w:rPr>
      </w:pPr>
    </w:p>
    <w:p w:rsidR="00036A73" w:rsidRPr="003B5522" w:rsidRDefault="009025A5" w:rsidP="00B543F8">
      <w:pPr>
        <w:pStyle w:val="Default"/>
        <w:jc w:val="both"/>
        <w:rPr>
          <w:rFonts w:ascii="Times New Roman" w:hAnsi="Times New Roman" w:cs="Times New Roman"/>
          <w:b/>
          <w:lang w:val="en-GB"/>
        </w:rPr>
      </w:pPr>
      <w:r w:rsidRPr="003B5522">
        <w:rPr>
          <w:rFonts w:ascii="Times New Roman" w:hAnsi="Times New Roman" w:cs="Times New Roman"/>
          <w:lang w:val="en-GB"/>
        </w:rPr>
        <w:t>When keeping or investing the income from rights management</w:t>
      </w:r>
      <w:r w:rsidR="008700B0" w:rsidRPr="003B5522">
        <w:rPr>
          <w:rFonts w:ascii="Times New Roman" w:hAnsi="Times New Roman" w:cs="Times New Roman"/>
          <w:lang w:val="en-GB"/>
        </w:rPr>
        <w:t xml:space="preserve"> (h</w:t>
      </w:r>
      <w:r w:rsidRPr="003B5522">
        <w:rPr>
          <w:rFonts w:ascii="Times New Roman" w:hAnsi="Times New Roman" w:cs="Times New Roman"/>
          <w:lang w:val="en-GB"/>
        </w:rPr>
        <w:t xml:space="preserve">ereinafter compensation) , </w:t>
      </w:r>
      <w:r w:rsidR="00036A73" w:rsidRPr="003B5522">
        <w:rPr>
          <w:rFonts w:ascii="Times New Roman" w:hAnsi="Times New Roman" w:cs="Times New Roman"/>
          <w:lang w:val="en-GB"/>
        </w:rPr>
        <w:t>AKKA/LAA</w:t>
      </w:r>
      <w:r w:rsidR="003B5522">
        <w:rPr>
          <w:rFonts w:ascii="Times New Roman" w:hAnsi="Times New Roman" w:cs="Times New Roman"/>
          <w:lang w:val="en-GB"/>
        </w:rPr>
        <w:t xml:space="preserve"> sepa</w:t>
      </w:r>
      <w:r w:rsidRPr="003B5522">
        <w:rPr>
          <w:rFonts w:ascii="Times New Roman" w:hAnsi="Times New Roman" w:cs="Times New Roman"/>
          <w:lang w:val="en-GB"/>
        </w:rPr>
        <w:t xml:space="preserve">rates it from all kinds of its own assets and from income generated by these assets, </w:t>
      </w:r>
      <w:r w:rsidR="008700B0" w:rsidRPr="003B5522">
        <w:rPr>
          <w:rFonts w:ascii="Times New Roman" w:hAnsi="Times New Roman" w:cs="Times New Roman"/>
          <w:lang w:val="en-GB"/>
        </w:rPr>
        <w:t xml:space="preserve">as well as from </w:t>
      </w:r>
      <w:r w:rsidRPr="003B5522">
        <w:rPr>
          <w:rFonts w:ascii="Times New Roman" w:hAnsi="Times New Roman" w:cs="Times New Roman"/>
          <w:lang w:val="en-GB"/>
        </w:rPr>
        <w:t xml:space="preserve">expenditure of management or income received from other </w:t>
      </w:r>
      <w:r w:rsidR="00036A73" w:rsidRPr="003B5522">
        <w:rPr>
          <w:rFonts w:ascii="Times New Roman" w:hAnsi="Times New Roman" w:cs="Times New Roman"/>
          <w:lang w:val="en-GB"/>
        </w:rPr>
        <w:t xml:space="preserve">AKKA/LAA </w:t>
      </w:r>
      <w:r w:rsidR="008700B0" w:rsidRPr="003B5522">
        <w:rPr>
          <w:rFonts w:ascii="Times New Roman" w:hAnsi="Times New Roman" w:cs="Times New Roman"/>
          <w:lang w:val="en-GB"/>
        </w:rPr>
        <w:t>activities</w:t>
      </w:r>
      <w:r w:rsidR="00036A73" w:rsidRPr="003B5522">
        <w:rPr>
          <w:rFonts w:ascii="Times New Roman" w:hAnsi="Times New Roman" w:cs="Times New Roman"/>
          <w:lang w:val="en-GB"/>
        </w:rPr>
        <w:t>.</w:t>
      </w:r>
    </w:p>
    <w:p w:rsidR="00036A73" w:rsidRPr="003B5522" w:rsidRDefault="00036A73" w:rsidP="00A603DB">
      <w:pPr>
        <w:pStyle w:val="Default"/>
        <w:rPr>
          <w:rFonts w:ascii="Times New Roman" w:hAnsi="Times New Roman" w:cs="Times New Roman"/>
          <w:b/>
          <w:lang w:val="en-GB"/>
        </w:rPr>
      </w:pPr>
    </w:p>
    <w:p w:rsidR="00B60E94" w:rsidRPr="003B5522" w:rsidRDefault="008700B0" w:rsidP="00C110CD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  <w:bCs/>
          <w:lang w:val="en-GB"/>
        </w:rPr>
      </w:pPr>
      <w:r w:rsidRPr="003B5522">
        <w:rPr>
          <w:rFonts w:ascii="Times New Roman" w:hAnsi="Times New Roman" w:cs="Times New Roman"/>
          <w:b/>
          <w:lang w:val="en-GB"/>
        </w:rPr>
        <w:t>Provision of Accessibility of Compensation</w:t>
      </w:r>
      <w:r w:rsidR="00B60E94" w:rsidRPr="003B5522">
        <w:rPr>
          <w:rFonts w:ascii="Times New Roman" w:hAnsi="Times New Roman" w:cs="Times New Roman"/>
          <w:b/>
          <w:lang w:val="en-GB"/>
        </w:rPr>
        <w:t xml:space="preserve"> </w:t>
      </w:r>
    </w:p>
    <w:p w:rsidR="00B60E94" w:rsidRPr="003B5522" w:rsidRDefault="00B60E94" w:rsidP="00A603DB">
      <w:pPr>
        <w:pStyle w:val="Default"/>
        <w:rPr>
          <w:rFonts w:ascii="Times New Roman" w:hAnsi="Times New Roman" w:cs="Times New Roman"/>
          <w:b/>
          <w:lang w:val="en-GB"/>
        </w:rPr>
      </w:pPr>
    </w:p>
    <w:p w:rsidR="00B60E94" w:rsidRPr="003B5522" w:rsidRDefault="00B60E94" w:rsidP="00B60E94">
      <w:pPr>
        <w:pStyle w:val="Default"/>
        <w:jc w:val="both"/>
        <w:rPr>
          <w:rFonts w:ascii="Times New Roman" w:hAnsi="Times New Roman" w:cs="Times New Roman"/>
          <w:lang w:val="en-GB"/>
        </w:rPr>
      </w:pPr>
      <w:r w:rsidRPr="003B5522">
        <w:rPr>
          <w:rFonts w:ascii="Times New Roman" w:hAnsi="Times New Roman" w:cs="Times New Roman"/>
          <w:lang w:val="en-GB"/>
        </w:rPr>
        <w:t xml:space="preserve">AKKA/LAA </w:t>
      </w:r>
      <w:r w:rsidR="008700B0" w:rsidRPr="003B5522">
        <w:rPr>
          <w:rFonts w:ascii="Times New Roman" w:hAnsi="Times New Roman" w:cs="Times New Roman"/>
          <w:lang w:val="en-GB"/>
        </w:rPr>
        <w:t>may invest compensation on temporary basis only, while it cannot be distributed or paid to the holders of copyright and neighbouring rights. Making investments from compensation</w:t>
      </w:r>
      <w:r w:rsidR="003B5522" w:rsidRPr="003B5522">
        <w:rPr>
          <w:rFonts w:ascii="Times New Roman" w:hAnsi="Times New Roman" w:cs="Times New Roman"/>
          <w:lang w:val="en-GB"/>
        </w:rPr>
        <w:t>, AKKA</w:t>
      </w:r>
      <w:r w:rsidRPr="003B5522">
        <w:rPr>
          <w:rFonts w:ascii="Times New Roman" w:hAnsi="Times New Roman" w:cs="Times New Roman"/>
          <w:lang w:val="en-GB"/>
        </w:rPr>
        <w:t xml:space="preserve">/LAA </w:t>
      </w:r>
      <w:r w:rsidR="008700B0" w:rsidRPr="003B5522">
        <w:rPr>
          <w:rFonts w:ascii="Times New Roman" w:hAnsi="Times New Roman" w:cs="Times New Roman"/>
          <w:lang w:val="en-GB"/>
        </w:rPr>
        <w:t>secures the possibility to recover the invested funds as soon as there is a possibility to distribute and pay them to the holders of copyright and neighbouring rights</w:t>
      </w:r>
      <w:r w:rsidRPr="003B5522">
        <w:rPr>
          <w:rFonts w:ascii="Times New Roman" w:hAnsi="Times New Roman" w:cs="Times New Roman"/>
          <w:lang w:val="en-GB"/>
        </w:rPr>
        <w:t>.</w:t>
      </w:r>
    </w:p>
    <w:p w:rsidR="00B60E94" w:rsidRPr="003B5522" w:rsidRDefault="00B60E94" w:rsidP="00A603DB">
      <w:pPr>
        <w:pStyle w:val="Default"/>
        <w:rPr>
          <w:rFonts w:ascii="Times New Roman" w:hAnsi="Times New Roman" w:cs="Times New Roman"/>
          <w:b/>
          <w:lang w:val="en-GB"/>
        </w:rPr>
      </w:pPr>
    </w:p>
    <w:p w:rsidR="00A603DB" w:rsidRPr="003B5522" w:rsidRDefault="008F1E82" w:rsidP="00C110CD">
      <w:pPr>
        <w:pStyle w:val="Default"/>
        <w:numPr>
          <w:ilvl w:val="0"/>
          <w:numId w:val="2"/>
        </w:numPr>
        <w:rPr>
          <w:rFonts w:ascii="Times New Roman" w:hAnsi="Times New Roman" w:cs="Times New Roman"/>
          <w:b/>
          <w:bCs/>
          <w:lang w:val="en-GB"/>
        </w:rPr>
      </w:pPr>
      <w:r w:rsidRPr="003B5522">
        <w:rPr>
          <w:rFonts w:ascii="Times New Roman" w:hAnsi="Times New Roman" w:cs="Times New Roman"/>
          <w:b/>
          <w:lang w:val="en-GB"/>
        </w:rPr>
        <w:t>The Policy of Investment of Compensation</w:t>
      </w:r>
      <w:r w:rsidR="00A603DB" w:rsidRPr="003B5522">
        <w:rPr>
          <w:rFonts w:ascii="Times New Roman" w:hAnsi="Times New Roman" w:cs="Times New Roman"/>
          <w:b/>
          <w:bCs/>
          <w:lang w:val="en-GB"/>
        </w:rPr>
        <w:t xml:space="preserve"> </w:t>
      </w:r>
    </w:p>
    <w:p w:rsidR="00A603DB" w:rsidRPr="003B5522" w:rsidRDefault="00A603DB" w:rsidP="00A603DB">
      <w:pPr>
        <w:pStyle w:val="Default"/>
        <w:rPr>
          <w:rFonts w:ascii="Times New Roman" w:hAnsi="Times New Roman" w:cs="Times New Roman"/>
          <w:lang w:val="en-GB"/>
        </w:rPr>
      </w:pPr>
    </w:p>
    <w:p w:rsidR="00300CE2" w:rsidRPr="003B5522" w:rsidRDefault="008F1E82" w:rsidP="00036A73">
      <w:pPr>
        <w:pStyle w:val="Default"/>
        <w:jc w:val="both"/>
        <w:rPr>
          <w:rFonts w:ascii="Times New Roman" w:hAnsi="Times New Roman" w:cs="Times New Roman"/>
          <w:lang w:val="en-GB"/>
        </w:rPr>
      </w:pPr>
      <w:r w:rsidRPr="003B5522">
        <w:rPr>
          <w:rFonts w:ascii="Times New Roman" w:hAnsi="Times New Roman" w:cs="Times New Roman"/>
          <w:lang w:val="en-GB"/>
        </w:rPr>
        <w:t xml:space="preserve">When investing the compensation, </w:t>
      </w:r>
      <w:r w:rsidR="009511D4" w:rsidRPr="003B5522">
        <w:rPr>
          <w:rFonts w:ascii="Times New Roman" w:hAnsi="Times New Roman" w:cs="Times New Roman"/>
          <w:lang w:val="en-GB"/>
        </w:rPr>
        <w:t>AKKA/LAA</w:t>
      </w:r>
      <w:r w:rsidR="009D782B" w:rsidRPr="003B5522">
        <w:rPr>
          <w:rFonts w:ascii="Times New Roman" w:hAnsi="Times New Roman" w:cs="Times New Roman"/>
          <w:lang w:val="en-GB"/>
        </w:rPr>
        <w:t xml:space="preserve"> acts like a solicitous and careful master who solely serves the interests of the holders of copyright and neighbouring rights, follows </w:t>
      </w:r>
      <w:r w:rsidR="00416C73" w:rsidRPr="003B5522">
        <w:rPr>
          <w:rFonts w:ascii="Times New Roman" w:hAnsi="Times New Roman" w:cs="Times New Roman"/>
          <w:lang w:val="en-GB"/>
        </w:rPr>
        <w:t>prudent</w:t>
      </w:r>
      <w:r w:rsidR="009D782B" w:rsidRPr="003B5522">
        <w:rPr>
          <w:rFonts w:ascii="Times New Roman" w:hAnsi="Times New Roman" w:cs="Times New Roman"/>
          <w:lang w:val="en-GB"/>
        </w:rPr>
        <w:t xml:space="preserve"> </w:t>
      </w:r>
      <w:r w:rsidR="003B5522" w:rsidRPr="003B5522">
        <w:rPr>
          <w:rFonts w:ascii="Times New Roman" w:hAnsi="Times New Roman" w:cs="Times New Roman"/>
          <w:lang w:val="en-GB"/>
        </w:rPr>
        <w:t>principles</w:t>
      </w:r>
      <w:r w:rsidR="009D782B" w:rsidRPr="003B5522">
        <w:rPr>
          <w:rFonts w:ascii="Times New Roman" w:hAnsi="Times New Roman" w:cs="Times New Roman"/>
          <w:lang w:val="en-GB"/>
        </w:rPr>
        <w:t xml:space="preserve"> that </w:t>
      </w:r>
      <w:r w:rsidR="00416C73" w:rsidRPr="003B5522">
        <w:rPr>
          <w:rFonts w:ascii="Times New Roman" w:hAnsi="Times New Roman" w:cs="Times New Roman"/>
          <w:lang w:val="en-GB"/>
        </w:rPr>
        <w:t>result in</w:t>
      </w:r>
      <w:r w:rsidR="009D782B" w:rsidRPr="003B5522">
        <w:rPr>
          <w:rFonts w:ascii="Times New Roman" w:hAnsi="Times New Roman" w:cs="Times New Roman"/>
          <w:lang w:val="en-GB"/>
        </w:rPr>
        <w:t xml:space="preserve"> diminishing of risks, security of investments, quality, liquidity and profitability, and </w:t>
      </w:r>
      <w:r w:rsidR="00416C73" w:rsidRPr="003B5522">
        <w:rPr>
          <w:rFonts w:ascii="Times New Roman" w:hAnsi="Times New Roman" w:cs="Times New Roman"/>
          <w:lang w:val="en-GB"/>
        </w:rPr>
        <w:t>pursue</w:t>
      </w:r>
      <w:r w:rsidR="009D782B" w:rsidRPr="003B5522">
        <w:rPr>
          <w:rFonts w:ascii="Times New Roman" w:hAnsi="Times New Roman" w:cs="Times New Roman"/>
          <w:lang w:val="en-GB"/>
        </w:rPr>
        <w:t xml:space="preserve">s policies of investment aimed at growth of resources </w:t>
      </w:r>
      <w:r w:rsidR="003B5522">
        <w:rPr>
          <w:rFonts w:ascii="Times New Roman" w:hAnsi="Times New Roman" w:cs="Times New Roman"/>
          <w:lang w:val="en-GB"/>
        </w:rPr>
        <w:t xml:space="preserve">of </w:t>
      </w:r>
      <w:r w:rsidR="009D782B" w:rsidRPr="003B5522">
        <w:rPr>
          <w:rFonts w:ascii="Times New Roman" w:hAnsi="Times New Roman" w:cs="Times New Roman"/>
          <w:lang w:val="en-GB"/>
        </w:rPr>
        <w:t>the holders of copyright and neighbouring rights</w:t>
      </w:r>
      <w:r w:rsidR="00A603DB" w:rsidRPr="003B5522">
        <w:rPr>
          <w:rFonts w:ascii="Times New Roman" w:hAnsi="Times New Roman" w:cs="Times New Roman"/>
          <w:lang w:val="en-GB"/>
        </w:rPr>
        <w:t xml:space="preserve">. </w:t>
      </w:r>
    </w:p>
    <w:p w:rsidR="001931E4" w:rsidRPr="003B5522" w:rsidRDefault="001931E4" w:rsidP="00036A73">
      <w:pPr>
        <w:pStyle w:val="Default"/>
        <w:jc w:val="both"/>
        <w:rPr>
          <w:rFonts w:ascii="Times New Roman" w:hAnsi="Times New Roman" w:cs="Times New Roman"/>
          <w:lang w:val="en-GB"/>
        </w:rPr>
      </w:pPr>
    </w:p>
    <w:p w:rsidR="00F3433C" w:rsidRPr="003B5522" w:rsidRDefault="00416C73" w:rsidP="00036A73">
      <w:pPr>
        <w:pStyle w:val="Default"/>
        <w:jc w:val="both"/>
        <w:rPr>
          <w:rFonts w:ascii="Times New Roman" w:hAnsi="Times New Roman" w:cs="Times New Roman"/>
          <w:lang w:val="en-GB"/>
        </w:rPr>
      </w:pPr>
      <w:r w:rsidRPr="003B5522">
        <w:rPr>
          <w:rFonts w:ascii="Times New Roman" w:hAnsi="Times New Roman" w:cs="Times New Roman"/>
          <w:lang w:val="en-GB"/>
        </w:rPr>
        <w:t xml:space="preserve">When taking a decision on investment of compensation, </w:t>
      </w:r>
      <w:r w:rsidR="00F3433C" w:rsidRPr="003B5522">
        <w:rPr>
          <w:rFonts w:ascii="Times New Roman" w:hAnsi="Times New Roman" w:cs="Times New Roman"/>
          <w:lang w:val="en-GB"/>
        </w:rPr>
        <w:t xml:space="preserve">AKKA/LAA </w:t>
      </w:r>
      <w:r w:rsidRPr="003B5522">
        <w:rPr>
          <w:rFonts w:ascii="Times New Roman" w:hAnsi="Times New Roman" w:cs="Times New Roman"/>
          <w:lang w:val="en-GB"/>
        </w:rPr>
        <w:t xml:space="preserve">complies with the obligations and limitations concerning the categories of investment and stipulated by Article 18 of the Act on </w:t>
      </w:r>
      <w:r w:rsidR="003B5522" w:rsidRPr="003B5522">
        <w:rPr>
          <w:rFonts w:ascii="Times New Roman" w:hAnsi="Times New Roman" w:cs="Times New Roman"/>
          <w:lang w:val="en-GB"/>
        </w:rPr>
        <w:t>Collective</w:t>
      </w:r>
      <w:r w:rsidRPr="003B5522">
        <w:rPr>
          <w:rFonts w:ascii="Times New Roman" w:hAnsi="Times New Roman" w:cs="Times New Roman"/>
          <w:lang w:val="en-GB"/>
        </w:rPr>
        <w:t xml:space="preserve"> Management of Copyright.</w:t>
      </w:r>
    </w:p>
    <w:p w:rsidR="00A603DB" w:rsidRPr="003B5522" w:rsidRDefault="00A603DB" w:rsidP="00036A73">
      <w:pPr>
        <w:pStyle w:val="Default"/>
        <w:jc w:val="both"/>
        <w:rPr>
          <w:rFonts w:ascii="Times New Roman" w:hAnsi="Times New Roman" w:cs="Times New Roman"/>
          <w:lang w:val="en-GB"/>
        </w:rPr>
      </w:pPr>
    </w:p>
    <w:p w:rsidR="009511D4" w:rsidRPr="003B5522" w:rsidRDefault="00A63810" w:rsidP="00036A73">
      <w:pPr>
        <w:pStyle w:val="Default"/>
        <w:jc w:val="both"/>
        <w:rPr>
          <w:rFonts w:ascii="Times New Roman" w:hAnsi="Times New Roman" w:cs="Times New Roman"/>
          <w:lang w:val="en-GB"/>
        </w:rPr>
      </w:pPr>
      <w:r w:rsidRPr="003B5522">
        <w:rPr>
          <w:rFonts w:ascii="Times New Roman" w:hAnsi="Times New Roman" w:cs="Times New Roman"/>
          <w:lang w:val="en-GB"/>
        </w:rPr>
        <w:t xml:space="preserve">AKKA/LAA </w:t>
      </w:r>
      <w:r w:rsidR="00416C73" w:rsidRPr="003B5522">
        <w:rPr>
          <w:rFonts w:ascii="Times New Roman" w:hAnsi="Times New Roman" w:cs="Times New Roman"/>
          <w:lang w:val="en-GB"/>
        </w:rPr>
        <w:t>may handle compensation in the following ways</w:t>
      </w:r>
      <w:r w:rsidR="00AF2506" w:rsidRPr="003B5522">
        <w:rPr>
          <w:rFonts w:ascii="Times New Roman" w:hAnsi="Times New Roman" w:cs="Times New Roman"/>
          <w:lang w:val="en-GB"/>
        </w:rPr>
        <w:t>:</w:t>
      </w:r>
    </w:p>
    <w:p w:rsidR="00B60E94" w:rsidRPr="003B5522" w:rsidRDefault="00B60E94" w:rsidP="00036A73">
      <w:pPr>
        <w:pStyle w:val="Default"/>
        <w:jc w:val="both"/>
        <w:rPr>
          <w:rFonts w:ascii="Times New Roman" w:hAnsi="Times New Roman" w:cs="Times New Roman"/>
          <w:lang w:val="en-GB"/>
        </w:rPr>
      </w:pPr>
    </w:p>
    <w:p w:rsidR="009511D4" w:rsidRPr="003B5522" w:rsidRDefault="005B489D" w:rsidP="00C110CD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lang w:val="en-GB"/>
        </w:rPr>
      </w:pPr>
      <w:r w:rsidRPr="003B5522">
        <w:rPr>
          <w:rFonts w:ascii="Times New Roman" w:hAnsi="Times New Roman" w:cs="Times New Roman"/>
          <w:lang w:val="en-GB"/>
        </w:rPr>
        <w:t>Keep it in the form of cash in order to ensure its payment to the rights holders</w:t>
      </w:r>
      <w:r w:rsidR="008D4323" w:rsidRPr="003B5522">
        <w:rPr>
          <w:rFonts w:ascii="Times New Roman" w:hAnsi="Times New Roman" w:cs="Times New Roman"/>
          <w:lang w:val="en-GB"/>
        </w:rPr>
        <w:t>;</w:t>
      </w:r>
      <w:r w:rsidR="009511D4" w:rsidRPr="003B5522">
        <w:rPr>
          <w:rFonts w:ascii="Times New Roman" w:hAnsi="Times New Roman" w:cs="Times New Roman"/>
          <w:lang w:val="en-GB"/>
        </w:rPr>
        <w:t xml:space="preserve"> </w:t>
      </w:r>
    </w:p>
    <w:p w:rsidR="00A63810" w:rsidRPr="003B5522" w:rsidRDefault="005B489D" w:rsidP="00C110CD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lang w:val="en-GB"/>
        </w:rPr>
      </w:pPr>
      <w:r w:rsidRPr="003B5522">
        <w:rPr>
          <w:rFonts w:ascii="Times New Roman" w:hAnsi="Times New Roman" w:cs="Times New Roman"/>
          <w:lang w:val="en-GB"/>
        </w:rPr>
        <w:t>Keep it on account at a credit institution</w:t>
      </w:r>
      <w:r w:rsidR="00A63810" w:rsidRPr="003B5522">
        <w:rPr>
          <w:rFonts w:ascii="Times New Roman" w:hAnsi="Times New Roman" w:cs="Times New Roman"/>
          <w:lang w:val="en-GB"/>
        </w:rPr>
        <w:t xml:space="preserve">; </w:t>
      </w:r>
    </w:p>
    <w:p w:rsidR="009511D4" w:rsidRPr="003B5522" w:rsidRDefault="00F27BB5" w:rsidP="00C110CD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lang w:val="en-GB"/>
        </w:rPr>
      </w:pPr>
      <w:r w:rsidRPr="003B5522">
        <w:rPr>
          <w:rFonts w:ascii="Times New Roman" w:hAnsi="Times New Roman" w:cs="Times New Roman"/>
          <w:lang w:val="en-GB"/>
        </w:rPr>
        <w:t>Save</w:t>
      </w:r>
      <w:r w:rsidR="00DB2ABF" w:rsidRPr="003B5522">
        <w:rPr>
          <w:rFonts w:ascii="Times New Roman" w:hAnsi="Times New Roman" w:cs="Times New Roman"/>
          <w:lang w:val="en-GB"/>
        </w:rPr>
        <w:t xml:space="preserve"> it on a deposit account or savings account of a credit institution</w:t>
      </w:r>
      <w:r w:rsidR="008D4323" w:rsidRPr="003B5522">
        <w:rPr>
          <w:rFonts w:ascii="Times New Roman" w:hAnsi="Times New Roman" w:cs="Times New Roman"/>
          <w:lang w:val="en-GB"/>
        </w:rPr>
        <w:t>;</w:t>
      </w:r>
    </w:p>
    <w:p w:rsidR="009511D4" w:rsidRPr="003B5522" w:rsidRDefault="00F27BB5" w:rsidP="00C110CD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lang w:val="en-GB"/>
        </w:rPr>
      </w:pPr>
      <w:r w:rsidRPr="003B5522">
        <w:rPr>
          <w:rFonts w:ascii="Times New Roman" w:hAnsi="Times New Roman" w:cs="Times New Roman"/>
          <w:lang w:val="en-GB"/>
        </w:rPr>
        <w:t>Invest it into national securities emitted by the Republic of Latvia provided such a measure is endorsed by</w:t>
      </w:r>
      <w:r w:rsidR="008D4323" w:rsidRPr="003B5522">
        <w:rPr>
          <w:rFonts w:ascii="Times New Roman" w:hAnsi="Times New Roman" w:cs="Times New Roman"/>
          <w:lang w:val="en-GB"/>
        </w:rPr>
        <w:t xml:space="preserve"> </w:t>
      </w:r>
      <w:r w:rsidR="00F3433C" w:rsidRPr="003B5522">
        <w:rPr>
          <w:rFonts w:ascii="Times New Roman" w:hAnsi="Times New Roman" w:cs="Times New Roman"/>
          <w:lang w:val="en-GB"/>
        </w:rPr>
        <w:t>AKKA/LAA</w:t>
      </w:r>
      <w:r w:rsidR="008D4323" w:rsidRPr="003B5522">
        <w:rPr>
          <w:rFonts w:ascii="Times New Roman" w:hAnsi="Times New Roman" w:cs="Times New Roman"/>
          <w:lang w:val="en-GB"/>
        </w:rPr>
        <w:t xml:space="preserve"> </w:t>
      </w:r>
      <w:r w:rsidRPr="003B5522">
        <w:rPr>
          <w:rFonts w:ascii="Times New Roman" w:hAnsi="Times New Roman" w:cs="Times New Roman"/>
          <w:lang w:val="en-GB"/>
        </w:rPr>
        <w:t>Council</w:t>
      </w:r>
      <w:r w:rsidR="008D4323" w:rsidRPr="003B5522">
        <w:rPr>
          <w:rFonts w:ascii="Times New Roman" w:hAnsi="Times New Roman" w:cs="Times New Roman"/>
          <w:lang w:val="en-GB"/>
        </w:rPr>
        <w:t>;</w:t>
      </w:r>
    </w:p>
    <w:p w:rsidR="00A603DB" w:rsidRPr="003B5522" w:rsidRDefault="00F27BB5" w:rsidP="00C110CD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lang w:val="en-GB"/>
        </w:rPr>
      </w:pPr>
      <w:r w:rsidRPr="003B5522">
        <w:rPr>
          <w:rFonts w:ascii="Times New Roman" w:hAnsi="Times New Roman" w:cs="Times New Roman"/>
          <w:lang w:val="en-GB"/>
        </w:rPr>
        <w:t>Invest it in another way, if an assembly of members decide accordingly, based on a sworn auditor’s resolution.</w:t>
      </w:r>
    </w:p>
    <w:p w:rsidR="00E86B0E" w:rsidRPr="003B5522" w:rsidRDefault="00E86B0E" w:rsidP="00E86B0E">
      <w:pPr>
        <w:pStyle w:val="Default"/>
        <w:jc w:val="both"/>
        <w:rPr>
          <w:rFonts w:ascii="Times New Roman" w:hAnsi="Times New Roman" w:cs="Times New Roman"/>
          <w:lang w:val="en-GB"/>
        </w:rPr>
      </w:pPr>
    </w:p>
    <w:p w:rsidR="00E86B0E" w:rsidRPr="003B5522" w:rsidRDefault="00F27BB5" w:rsidP="00E86B0E">
      <w:pPr>
        <w:pStyle w:val="Default"/>
        <w:jc w:val="both"/>
        <w:rPr>
          <w:rFonts w:ascii="Times New Roman" w:hAnsi="Times New Roman" w:cs="Times New Roman"/>
          <w:lang w:val="en-GB"/>
        </w:rPr>
      </w:pPr>
      <w:r w:rsidRPr="003B5522">
        <w:rPr>
          <w:rFonts w:ascii="Times New Roman" w:hAnsi="Times New Roman" w:cs="Times New Roman"/>
          <w:lang w:val="en-GB"/>
        </w:rPr>
        <w:t>Compensation is invested solely into high quality and safe national, municipal and commercial debt securities (bonds)</w:t>
      </w:r>
      <w:r w:rsidR="00E86B0E" w:rsidRPr="003B5522">
        <w:rPr>
          <w:rFonts w:ascii="Times New Roman" w:hAnsi="Times New Roman" w:cs="Times New Roman"/>
          <w:lang w:val="en-GB"/>
        </w:rPr>
        <w:t xml:space="preserve">, </w:t>
      </w:r>
      <w:r w:rsidRPr="003B5522">
        <w:rPr>
          <w:rFonts w:ascii="Times New Roman" w:hAnsi="Times New Roman" w:cs="Times New Roman"/>
          <w:lang w:val="en-GB"/>
        </w:rPr>
        <w:t>as well as into investment funds, whose resources are o</w:t>
      </w:r>
      <w:r w:rsidR="00106EF7" w:rsidRPr="003B5522">
        <w:rPr>
          <w:rFonts w:ascii="Times New Roman" w:hAnsi="Times New Roman" w:cs="Times New Roman"/>
          <w:lang w:val="en-GB"/>
        </w:rPr>
        <w:t>n</w:t>
      </w:r>
      <w:r w:rsidRPr="003B5522">
        <w:rPr>
          <w:rFonts w:ascii="Times New Roman" w:hAnsi="Times New Roman" w:cs="Times New Roman"/>
          <w:lang w:val="en-GB"/>
        </w:rPr>
        <w:t xml:space="preserve">ly invested </w:t>
      </w:r>
      <w:r w:rsidR="00106EF7" w:rsidRPr="003B5522">
        <w:rPr>
          <w:rFonts w:ascii="Times New Roman" w:hAnsi="Times New Roman" w:cs="Times New Roman"/>
          <w:lang w:val="en-GB"/>
        </w:rPr>
        <w:t>against</w:t>
      </w:r>
      <w:r w:rsidRPr="003B5522">
        <w:rPr>
          <w:rFonts w:ascii="Times New Roman" w:hAnsi="Times New Roman" w:cs="Times New Roman"/>
          <w:lang w:val="en-GB"/>
        </w:rPr>
        <w:t xml:space="preserve"> debt securities </w:t>
      </w:r>
      <w:r w:rsidR="00106EF7" w:rsidRPr="003B5522">
        <w:rPr>
          <w:rFonts w:ascii="Times New Roman" w:hAnsi="Times New Roman" w:cs="Times New Roman"/>
          <w:lang w:val="en-GB"/>
        </w:rPr>
        <w:t>or deposited</w:t>
      </w:r>
      <w:r w:rsidRPr="003B5522">
        <w:rPr>
          <w:rFonts w:ascii="Times New Roman" w:hAnsi="Times New Roman" w:cs="Times New Roman"/>
          <w:lang w:val="en-GB"/>
        </w:rPr>
        <w:t xml:space="preserve"> at credit institutions.</w:t>
      </w:r>
      <w:r w:rsidR="00E86B0E" w:rsidRPr="003B5522">
        <w:rPr>
          <w:rFonts w:ascii="Times New Roman" w:hAnsi="Times New Roman" w:cs="Times New Roman"/>
          <w:lang w:val="en-GB"/>
        </w:rPr>
        <w:t xml:space="preserve"> </w:t>
      </w:r>
    </w:p>
    <w:p w:rsidR="00E86B0E" w:rsidRPr="003B5522" w:rsidRDefault="00E86B0E" w:rsidP="00E86B0E">
      <w:pPr>
        <w:pStyle w:val="Default"/>
        <w:jc w:val="both"/>
        <w:rPr>
          <w:rFonts w:ascii="Times New Roman" w:hAnsi="Times New Roman" w:cs="Times New Roman"/>
          <w:lang w:val="en-GB"/>
        </w:rPr>
      </w:pPr>
    </w:p>
    <w:sectPr w:rsidR="00E86B0E" w:rsidRPr="003B5522" w:rsidSect="00894C8F">
      <w:footerReference w:type="first" r:id="rId8"/>
      <w:pgSz w:w="11906" w:h="16838"/>
      <w:pgMar w:top="1440" w:right="1558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1C9" w:rsidRDefault="002221C9" w:rsidP="00B62FE0">
      <w:pPr>
        <w:spacing w:after="0" w:line="240" w:lineRule="auto"/>
      </w:pPr>
      <w:r>
        <w:separator/>
      </w:r>
    </w:p>
  </w:endnote>
  <w:endnote w:type="continuationSeparator" w:id="0">
    <w:p w:rsidR="002221C9" w:rsidRDefault="002221C9" w:rsidP="00B62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24B" w:rsidRDefault="00CF324B" w:rsidP="00CF324B">
    <w:pPr>
      <w:pStyle w:val="Footer"/>
      <w:jc w:val="center"/>
    </w:pPr>
    <w:r w:rsidRPr="00B62FE0">
      <w:rPr>
        <w:rFonts w:ascii="Times New Roman" w:hAnsi="Times New Roman" w:cs="Times New Roman"/>
      </w:rPr>
      <w:t xml:space="preserve">Lapa </w:t>
    </w:r>
    <w:r w:rsidR="005E04A2" w:rsidRPr="00B62FE0">
      <w:rPr>
        <w:rStyle w:val="PageNumber"/>
        <w:rFonts w:ascii="Times New Roman" w:hAnsi="Times New Roman" w:cs="Times New Roman"/>
      </w:rPr>
      <w:fldChar w:fldCharType="begin"/>
    </w:r>
    <w:r w:rsidRPr="00B62FE0">
      <w:rPr>
        <w:rStyle w:val="PageNumber"/>
        <w:rFonts w:ascii="Times New Roman" w:hAnsi="Times New Roman" w:cs="Times New Roman"/>
      </w:rPr>
      <w:instrText xml:space="preserve"> PAGE </w:instrText>
    </w:r>
    <w:r w:rsidR="005E04A2" w:rsidRPr="00B62FE0">
      <w:rPr>
        <w:rStyle w:val="PageNumber"/>
        <w:rFonts w:ascii="Times New Roman" w:hAnsi="Times New Roman" w:cs="Times New Roman"/>
      </w:rPr>
      <w:fldChar w:fldCharType="separate"/>
    </w:r>
    <w:r w:rsidR="00E831AC">
      <w:rPr>
        <w:rStyle w:val="PageNumber"/>
        <w:rFonts w:ascii="Times New Roman" w:hAnsi="Times New Roman" w:cs="Times New Roman"/>
        <w:noProof/>
      </w:rPr>
      <w:t>1</w:t>
    </w:r>
    <w:r w:rsidR="005E04A2" w:rsidRPr="00B62FE0">
      <w:rPr>
        <w:rStyle w:val="PageNumber"/>
        <w:rFonts w:ascii="Times New Roman" w:hAnsi="Times New Roman" w:cs="Times New Roman"/>
      </w:rPr>
      <w:fldChar w:fldCharType="end"/>
    </w:r>
    <w:r w:rsidRPr="00B62FE0">
      <w:rPr>
        <w:rStyle w:val="PageNumber"/>
        <w:rFonts w:ascii="Times New Roman" w:hAnsi="Times New Roman" w:cs="Times New Roman"/>
      </w:rPr>
      <w:t xml:space="preserve"> no </w:t>
    </w:r>
    <w:r w:rsidR="005E04A2" w:rsidRPr="00B62FE0">
      <w:rPr>
        <w:rStyle w:val="PageNumber"/>
        <w:rFonts w:ascii="Times New Roman" w:hAnsi="Times New Roman" w:cs="Times New Roman"/>
      </w:rPr>
      <w:fldChar w:fldCharType="begin"/>
    </w:r>
    <w:r w:rsidRPr="00B62FE0">
      <w:rPr>
        <w:rStyle w:val="PageNumber"/>
        <w:rFonts w:ascii="Times New Roman" w:hAnsi="Times New Roman" w:cs="Times New Roman"/>
      </w:rPr>
      <w:instrText xml:space="preserve"> NUMPAGES </w:instrText>
    </w:r>
    <w:r w:rsidR="005E04A2" w:rsidRPr="00B62FE0">
      <w:rPr>
        <w:rStyle w:val="PageNumber"/>
        <w:rFonts w:ascii="Times New Roman" w:hAnsi="Times New Roman" w:cs="Times New Roman"/>
      </w:rPr>
      <w:fldChar w:fldCharType="separate"/>
    </w:r>
    <w:r w:rsidR="00E831AC">
      <w:rPr>
        <w:rStyle w:val="PageNumber"/>
        <w:rFonts w:ascii="Times New Roman" w:hAnsi="Times New Roman" w:cs="Times New Roman"/>
        <w:noProof/>
      </w:rPr>
      <w:t>1</w:t>
    </w:r>
    <w:r w:rsidR="005E04A2" w:rsidRPr="00B62FE0">
      <w:rPr>
        <w:rStyle w:val="PageNumber"/>
        <w:rFonts w:ascii="Times New Roman" w:hAnsi="Times New Roman" w:cs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1C9" w:rsidRDefault="002221C9" w:rsidP="00B62FE0">
      <w:pPr>
        <w:spacing w:after="0" w:line="240" w:lineRule="auto"/>
      </w:pPr>
      <w:r>
        <w:separator/>
      </w:r>
    </w:p>
  </w:footnote>
  <w:footnote w:type="continuationSeparator" w:id="0">
    <w:p w:rsidR="002221C9" w:rsidRDefault="002221C9" w:rsidP="00B62F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C63A2"/>
    <w:multiLevelType w:val="hybridMultilevel"/>
    <w:tmpl w:val="118A284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34001E"/>
    <w:multiLevelType w:val="hybridMultilevel"/>
    <w:tmpl w:val="CF7A18F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8C51C9"/>
    <w:multiLevelType w:val="hybridMultilevel"/>
    <w:tmpl w:val="430EC6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236E62"/>
    <w:rsid w:val="00036A73"/>
    <w:rsid w:val="00106EF7"/>
    <w:rsid w:val="001931E4"/>
    <w:rsid w:val="002221C9"/>
    <w:rsid w:val="00236E62"/>
    <w:rsid w:val="002A6ED7"/>
    <w:rsid w:val="00300CE2"/>
    <w:rsid w:val="00367B8D"/>
    <w:rsid w:val="00380566"/>
    <w:rsid w:val="003B1D7F"/>
    <w:rsid w:val="003B5522"/>
    <w:rsid w:val="003B6B51"/>
    <w:rsid w:val="003D3B06"/>
    <w:rsid w:val="00401C4B"/>
    <w:rsid w:val="00416C73"/>
    <w:rsid w:val="00467AA6"/>
    <w:rsid w:val="005B489D"/>
    <w:rsid w:val="005E04A2"/>
    <w:rsid w:val="005F3F3D"/>
    <w:rsid w:val="006C2EE7"/>
    <w:rsid w:val="007069A0"/>
    <w:rsid w:val="0076270B"/>
    <w:rsid w:val="00765887"/>
    <w:rsid w:val="0079200F"/>
    <w:rsid w:val="007E2E74"/>
    <w:rsid w:val="0083117C"/>
    <w:rsid w:val="008700B0"/>
    <w:rsid w:val="00886835"/>
    <w:rsid w:val="00894C8F"/>
    <w:rsid w:val="008D4323"/>
    <w:rsid w:val="008F1E82"/>
    <w:rsid w:val="009025A5"/>
    <w:rsid w:val="00933522"/>
    <w:rsid w:val="009511D4"/>
    <w:rsid w:val="00966E25"/>
    <w:rsid w:val="009D782B"/>
    <w:rsid w:val="00A25FEB"/>
    <w:rsid w:val="00A603DB"/>
    <w:rsid w:val="00A63810"/>
    <w:rsid w:val="00AD1280"/>
    <w:rsid w:val="00AF2506"/>
    <w:rsid w:val="00B01634"/>
    <w:rsid w:val="00B01B35"/>
    <w:rsid w:val="00B20F10"/>
    <w:rsid w:val="00B32051"/>
    <w:rsid w:val="00B543F8"/>
    <w:rsid w:val="00B60E94"/>
    <w:rsid w:val="00B62FE0"/>
    <w:rsid w:val="00B83153"/>
    <w:rsid w:val="00C110CD"/>
    <w:rsid w:val="00C1652A"/>
    <w:rsid w:val="00C8398E"/>
    <w:rsid w:val="00C9600C"/>
    <w:rsid w:val="00CE0468"/>
    <w:rsid w:val="00CF324B"/>
    <w:rsid w:val="00DB2ABF"/>
    <w:rsid w:val="00E27AA5"/>
    <w:rsid w:val="00E43F98"/>
    <w:rsid w:val="00E831AC"/>
    <w:rsid w:val="00E86B0E"/>
    <w:rsid w:val="00EF05C4"/>
    <w:rsid w:val="00F27BB5"/>
    <w:rsid w:val="00F3433C"/>
    <w:rsid w:val="00F34A9E"/>
    <w:rsid w:val="00F87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F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603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0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C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B62F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62FE0"/>
  </w:style>
  <w:style w:type="paragraph" w:styleId="Footer">
    <w:name w:val="footer"/>
    <w:basedOn w:val="Normal"/>
    <w:link w:val="FooterChar"/>
    <w:unhideWhenUsed/>
    <w:rsid w:val="00B62F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2FE0"/>
  </w:style>
  <w:style w:type="character" w:styleId="PageNumber">
    <w:name w:val="page number"/>
    <w:semiHidden/>
    <w:rsid w:val="00B62FE0"/>
  </w:style>
  <w:style w:type="character" w:styleId="CommentReference">
    <w:name w:val="annotation reference"/>
    <w:basedOn w:val="DefaultParagraphFont"/>
    <w:uiPriority w:val="99"/>
    <w:semiHidden/>
    <w:unhideWhenUsed/>
    <w:rsid w:val="008311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11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11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11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117C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0C88F-6528-4653-A8DC-7EB0E5CD0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1457</Words>
  <Characters>832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Gunta Dambe</dc:creator>
  <cp:lastModifiedBy>ieva kolmane</cp:lastModifiedBy>
  <cp:revision>2</cp:revision>
  <cp:lastPrinted>2017-10-16T09:25:00Z</cp:lastPrinted>
  <dcterms:created xsi:type="dcterms:W3CDTF">2018-10-15T08:30:00Z</dcterms:created>
  <dcterms:modified xsi:type="dcterms:W3CDTF">2018-10-15T08:30:00Z</dcterms:modified>
</cp:coreProperties>
</file>