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786" w:rsidRPr="001A0A0B" w:rsidRDefault="006A2786" w:rsidP="006A2786">
      <w:pPr>
        <w:pStyle w:val="Heading2"/>
        <w:numPr>
          <w:ilvl w:val="0"/>
          <w:numId w:val="1"/>
        </w:numPr>
        <w:spacing w:before="120"/>
      </w:pPr>
      <w:bookmarkStart w:id="0" w:name="_Toc319679494"/>
      <w:r w:rsidRPr="001A0A0B">
        <w:t>Vispārīgie nosacījumi</w:t>
      </w:r>
      <w:bookmarkEnd w:id="0"/>
    </w:p>
    <w:p w:rsidR="006A2786" w:rsidRPr="001A0A0B" w:rsidRDefault="006A2786" w:rsidP="006A2786">
      <w:pPr>
        <w:autoSpaceDE w:val="0"/>
        <w:autoSpaceDN w:val="0"/>
        <w:adjustRightInd w:val="0"/>
        <w:rPr>
          <w:lang w:val="lv-LV" w:eastAsia="lv-LV"/>
        </w:rPr>
      </w:pPr>
    </w:p>
    <w:p w:rsidR="006A2786" w:rsidRPr="001A0A0B" w:rsidRDefault="006A2786" w:rsidP="006A2786">
      <w:pPr>
        <w:autoSpaceDE w:val="0"/>
        <w:autoSpaceDN w:val="0"/>
        <w:adjustRightInd w:val="0"/>
        <w:jc w:val="both"/>
        <w:rPr>
          <w:lang w:val="lv-LV" w:eastAsia="lv-LV"/>
        </w:rPr>
      </w:pPr>
      <w:r w:rsidRPr="001A0A0B">
        <w:rPr>
          <w:lang w:val="lv-LV" w:eastAsia="lv-LV"/>
        </w:rPr>
        <w:t>Par biedru var kļūt:</w:t>
      </w:r>
    </w:p>
    <w:p w:rsidR="006A2786" w:rsidRPr="001A0A0B" w:rsidRDefault="006A2786" w:rsidP="006A2786">
      <w:pPr>
        <w:numPr>
          <w:ilvl w:val="0"/>
          <w:numId w:val="3"/>
        </w:numPr>
        <w:autoSpaceDE w:val="0"/>
        <w:autoSpaceDN w:val="0"/>
        <w:adjustRightInd w:val="0"/>
        <w:jc w:val="both"/>
        <w:rPr>
          <w:lang w:val="lv-LV" w:eastAsia="lv-LV"/>
        </w:rPr>
      </w:pPr>
      <w:r w:rsidRPr="001A0A0B">
        <w:rPr>
          <w:lang w:val="lv-LV" w:eastAsia="lv-LV"/>
        </w:rPr>
        <w:t xml:space="preserve">autors - fiziska persona, kurš ir pilnvarojis biedrību „Autortiesību un komunicēšanās konsultāciju aģentūra/Latvijas Autoru apvienība” (turpmāk – AKKA/LAA) administrēt autora mantiskās tiesības noteiktos darbu izmantojuma veidos; </w:t>
      </w:r>
    </w:p>
    <w:p w:rsidR="006A2786" w:rsidRPr="001A0A0B" w:rsidRDefault="006A2786" w:rsidP="006A2786">
      <w:pPr>
        <w:numPr>
          <w:ilvl w:val="0"/>
          <w:numId w:val="3"/>
        </w:numPr>
        <w:autoSpaceDE w:val="0"/>
        <w:autoSpaceDN w:val="0"/>
        <w:adjustRightInd w:val="0"/>
        <w:jc w:val="both"/>
        <w:rPr>
          <w:lang w:val="lv-LV" w:eastAsia="lv-LV"/>
        </w:rPr>
      </w:pPr>
      <w:r w:rsidRPr="001A0A0B">
        <w:rPr>
          <w:lang w:val="lv-LV" w:eastAsia="lv-LV"/>
        </w:rPr>
        <w:t xml:space="preserve">juridiska persona </w:t>
      </w:r>
      <w:r>
        <w:rPr>
          <w:lang w:val="lv-LV" w:eastAsia="lv-LV"/>
        </w:rPr>
        <w:t>–</w:t>
      </w:r>
      <w:r w:rsidRPr="001A0A0B">
        <w:rPr>
          <w:lang w:val="lv-LV" w:eastAsia="lv-LV"/>
        </w:rPr>
        <w:t xml:space="preserve"> </w:t>
      </w:r>
      <w:r>
        <w:rPr>
          <w:lang w:val="lv-LV" w:eastAsia="lv-LV"/>
        </w:rPr>
        <w:t xml:space="preserve">mūzikas </w:t>
      </w:r>
      <w:r w:rsidRPr="001A0A0B">
        <w:rPr>
          <w:lang w:val="lv-LV" w:eastAsia="lv-LV"/>
        </w:rPr>
        <w:t>izdevniecība, kura ir autoru mantisko tiesību pārņēmēja un kura ir noslēgusi līgumu ar AKKA/LAA par autora mantisko tiesību kolektīvo pārvaldījumu.</w:t>
      </w:r>
    </w:p>
    <w:p w:rsidR="006A2786" w:rsidRPr="001A0A0B" w:rsidRDefault="006A2786" w:rsidP="006A2786">
      <w:pPr>
        <w:autoSpaceDE w:val="0"/>
        <w:autoSpaceDN w:val="0"/>
        <w:adjustRightInd w:val="0"/>
        <w:jc w:val="both"/>
        <w:rPr>
          <w:lang w:val="lv-LV" w:eastAsia="lv-LV"/>
        </w:rPr>
      </w:pPr>
    </w:p>
    <w:p w:rsidR="006A2786" w:rsidRPr="00375384" w:rsidRDefault="006A2786" w:rsidP="006A2786">
      <w:pPr>
        <w:autoSpaceDE w:val="0"/>
        <w:autoSpaceDN w:val="0"/>
        <w:adjustRightInd w:val="0"/>
        <w:jc w:val="both"/>
        <w:rPr>
          <w:lang w:val="lv-LV"/>
        </w:rPr>
      </w:pPr>
      <w:r w:rsidRPr="001A0A0B">
        <w:rPr>
          <w:lang w:val="lv-LV" w:eastAsia="lv-LV"/>
        </w:rPr>
        <w:t>Par biedru nevar kļūt persona, kas ir biedrs citā autoru mantisko tiesību kolektīvā pārvaldījuma organizācijā, kura veic kolektīvo pārvaldījumu attiecībā uz tādiem pašiem autortiesību objektu izmantošanas veidiem kā AKKA/LAA.</w:t>
      </w:r>
    </w:p>
    <w:p w:rsidR="006A2786" w:rsidRPr="001A0A0B" w:rsidRDefault="006A2786" w:rsidP="006A2786">
      <w:pPr>
        <w:pStyle w:val="Heading2"/>
        <w:numPr>
          <w:ilvl w:val="0"/>
          <w:numId w:val="1"/>
        </w:numPr>
        <w:spacing w:before="120"/>
      </w:pPr>
      <w:bookmarkStart w:id="1" w:name="_Toc319679495"/>
      <w:r w:rsidRPr="001A0A0B">
        <w:t>Biedru tiesības</w:t>
      </w:r>
      <w:bookmarkEnd w:id="1"/>
    </w:p>
    <w:p w:rsidR="006A2786" w:rsidRPr="001A0A0B" w:rsidRDefault="006A2786" w:rsidP="006A2786">
      <w:pPr>
        <w:rPr>
          <w:lang w:val="lv-LV"/>
        </w:rPr>
      </w:pPr>
    </w:p>
    <w:p w:rsidR="006A2786" w:rsidRPr="001A0A0B" w:rsidRDefault="006A2786" w:rsidP="006A2786">
      <w:pPr>
        <w:autoSpaceDE w:val="0"/>
        <w:autoSpaceDN w:val="0"/>
        <w:adjustRightInd w:val="0"/>
        <w:jc w:val="both"/>
        <w:rPr>
          <w:lang w:val="lv-LV" w:eastAsia="lv-LV"/>
        </w:rPr>
      </w:pPr>
      <w:r w:rsidRPr="001A0A0B">
        <w:rPr>
          <w:lang w:val="lv-LV" w:eastAsia="lv-LV"/>
        </w:rPr>
        <w:t>Biedriem ir tiesības:</w:t>
      </w:r>
    </w:p>
    <w:p w:rsidR="006A2786" w:rsidRPr="001A0A0B" w:rsidRDefault="006A2786" w:rsidP="006A2786">
      <w:pPr>
        <w:numPr>
          <w:ilvl w:val="0"/>
          <w:numId w:val="4"/>
        </w:numPr>
        <w:autoSpaceDE w:val="0"/>
        <w:autoSpaceDN w:val="0"/>
        <w:adjustRightInd w:val="0"/>
        <w:jc w:val="both"/>
        <w:rPr>
          <w:lang w:val="lv-LV" w:eastAsia="lv-LV"/>
        </w:rPr>
      </w:pPr>
      <w:r w:rsidRPr="001A0A0B">
        <w:rPr>
          <w:lang w:val="lv-LV" w:eastAsia="lv-LV"/>
        </w:rPr>
        <w:t>piedalīties AKKA/LAA pārvaldē statūtos noteiktā kārtībā;</w:t>
      </w:r>
    </w:p>
    <w:p w:rsidR="006A2786" w:rsidRPr="001A0A0B" w:rsidRDefault="006A2786" w:rsidP="006A2786">
      <w:pPr>
        <w:numPr>
          <w:ilvl w:val="0"/>
          <w:numId w:val="4"/>
        </w:numPr>
        <w:autoSpaceDE w:val="0"/>
        <w:autoSpaceDN w:val="0"/>
        <w:adjustRightInd w:val="0"/>
        <w:jc w:val="both"/>
        <w:rPr>
          <w:lang w:val="lv-LV" w:eastAsia="lv-LV"/>
        </w:rPr>
      </w:pPr>
      <w:r w:rsidRPr="001A0A0B">
        <w:rPr>
          <w:lang w:val="lv-LV" w:eastAsia="lv-LV"/>
        </w:rPr>
        <w:t xml:space="preserve">saņemt informāciju par AKKA/LAA darbību; </w:t>
      </w:r>
    </w:p>
    <w:p w:rsidR="006A2786" w:rsidRPr="001A0A0B" w:rsidRDefault="006A2786" w:rsidP="006A2786">
      <w:pPr>
        <w:numPr>
          <w:ilvl w:val="0"/>
          <w:numId w:val="4"/>
        </w:numPr>
        <w:autoSpaceDE w:val="0"/>
        <w:autoSpaceDN w:val="0"/>
        <w:adjustRightInd w:val="0"/>
        <w:jc w:val="both"/>
        <w:rPr>
          <w:lang w:val="lv-LV" w:eastAsia="lv-LV"/>
        </w:rPr>
      </w:pPr>
      <w:r w:rsidRPr="001A0A0B">
        <w:rPr>
          <w:lang w:val="lv-LV" w:eastAsia="lv-LV"/>
        </w:rPr>
        <w:t>iepazīties ar kopsapulces vai padomes sēžu protokoliem un lēmumiem;</w:t>
      </w:r>
    </w:p>
    <w:p w:rsidR="006A2786" w:rsidRPr="001A0A0B" w:rsidRDefault="006A2786" w:rsidP="006A2786">
      <w:pPr>
        <w:numPr>
          <w:ilvl w:val="0"/>
          <w:numId w:val="4"/>
        </w:numPr>
        <w:autoSpaceDE w:val="0"/>
        <w:autoSpaceDN w:val="0"/>
        <w:adjustRightInd w:val="0"/>
        <w:jc w:val="both"/>
        <w:rPr>
          <w:lang w:val="lv-LV" w:eastAsia="lv-LV"/>
        </w:rPr>
      </w:pPr>
      <w:r w:rsidRPr="001A0A0B">
        <w:rPr>
          <w:lang w:val="lv-LV" w:eastAsia="lv-LV"/>
        </w:rPr>
        <w:t>piedalīties AKKA/LAA organizētajos pasākumos;</w:t>
      </w:r>
    </w:p>
    <w:p w:rsidR="006A2786" w:rsidRPr="001A0A0B" w:rsidRDefault="006A2786" w:rsidP="006A2786">
      <w:pPr>
        <w:numPr>
          <w:ilvl w:val="0"/>
          <w:numId w:val="4"/>
        </w:numPr>
        <w:autoSpaceDE w:val="0"/>
        <w:autoSpaceDN w:val="0"/>
        <w:adjustRightInd w:val="0"/>
        <w:jc w:val="both"/>
        <w:rPr>
          <w:lang w:val="lv-LV" w:eastAsia="lv-LV"/>
        </w:rPr>
      </w:pPr>
      <w:r w:rsidRPr="001A0A0B">
        <w:rPr>
          <w:lang w:val="lv-LV" w:eastAsia="lv-LV"/>
        </w:rPr>
        <w:t>iesniegt priekšlikumus par AKKA/LAA darbību un tās uzlabošanu;</w:t>
      </w:r>
    </w:p>
    <w:p w:rsidR="006A2786" w:rsidRPr="001A0A0B" w:rsidRDefault="006A2786" w:rsidP="006A2786">
      <w:pPr>
        <w:numPr>
          <w:ilvl w:val="0"/>
          <w:numId w:val="4"/>
        </w:numPr>
        <w:autoSpaceDE w:val="0"/>
        <w:autoSpaceDN w:val="0"/>
        <w:adjustRightInd w:val="0"/>
        <w:jc w:val="both"/>
        <w:rPr>
          <w:lang w:val="lv-LV" w:eastAsia="lv-LV"/>
        </w:rPr>
      </w:pPr>
      <w:r w:rsidRPr="001A0A0B">
        <w:rPr>
          <w:lang w:val="lv-LV" w:eastAsia="lv-LV"/>
        </w:rPr>
        <w:t>saņemt pakalpojumus, ko AKKA/LAA sniedz saviem biedriem;</w:t>
      </w:r>
    </w:p>
    <w:p w:rsidR="006A2786" w:rsidRPr="001A0A0B" w:rsidRDefault="006A2786" w:rsidP="006A2786">
      <w:pPr>
        <w:numPr>
          <w:ilvl w:val="0"/>
          <w:numId w:val="4"/>
        </w:numPr>
        <w:autoSpaceDE w:val="0"/>
        <w:autoSpaceDN w:val="0"/>
        <w:adjustRightInd w:val="0"/>
        <w:jc w:val="both"/>
        <w:rPr>
          <w:lang w:val="lv-LV" w:eastAsia="lv-LV"/>
        </w:rPr>
      </w:pPr>
      <w:r w:rsidRPr="001A0A0B">
        <w:rPr>
          <w:lang w:val="lv-LV" w:eastAsia="lv-LV"/>
        </w:rPr>
        <w:t>izstāties no Biedrības, iesniedzot rakstveida paziņojumu padomei.</w:t>
      </w:r>
    </w:p>
    <w:p w:rsidR="006A2786" w:rsidRPr="001A0A0B" w:rsidRDefault="006A2786" w:rsidP="006A2786">
      <w:pPr>
        <w:rPr>
          <w:lang w:val="lv-LV"/>
        </w:rPr>
      </w:pPr>
    </w:p>
    <w:p w:rsidR="006A2786" w:rsidRPr="001A0A0B" w:rsidRDefault="006A2786" w:rsidP="006A2786">
      <w:pPr>
        <w:pStyle w:val="Heading2"/>
        <w:numPr>
          <w:ilvl w:val="0"/>
          <w:numId w:val="1"/>
        </w:numPr>
        <w:spacing w:before="120"/>
      </w:pPr>
      <w:bookmarkStart w:id="2" w:name="_Toc319679496"/>
      <w:r w:rsidRPr="001A0A0B">
        <w:t>Biedru pienākumi</w:t>
      </w:r>
      <w:bookmarkEnd w:id="2"/>
    </w:p>
    <w:p w:rsidR="006A2786" w:rsidRPr="001A0A0B" w:rsidRDefault="006A2786" w:rsidP="006A2786">
      <w:pPr>
        <w:rPr>
          <w:lang w:val="lv-LV"/>
        </w:rPr>
      </w:pPr>
    </w:p>
    <w:p w:rsidR="006A2786" w:rsidRPr="001A0A0B" w:rsidRDefault="006A2786" w:rsidP="006A2786">
      <w:pPr>
        <w:autoSpaceDE w:val="0"/>
        <w:autoSpaceDN w:val="0"/>
        <w:adjustRightInd w:val="0"/>
        <w:jc w:val="both"/>
        <w:rPr>
          <w:lang w:val="lv-LV" w:eastAsia="lv-LV"/>
        </w:rPr>
      </w:pPr>
      <w:r w:rsidRPr="001A0A0B">
        <w:rPr>
          <w:lang w:val="lv-LV" w:eastAsia="lv-LV"/>
        </w:rPr>
        <w:t>Biedru pienākumi ir:</w:t>
      </w:r>
    </w:p>
    <w:p w:rsidR="006A2786" w:rsidRPr="001A0A0B" w:rsidRDefault="006A2786" w:rsidP="006A2786">
      <w:pPr>
        <w:numPr>
          <w:ilvl w:val="0"/>
          <w:numId w:val="5"/>
        </w:numPr>
        <w:autoSpaceDE w:val="0"/>
        <w:autoSpaceDN w:val="0"/>
        <w:adjustRightInd w:val="0"/>
        <w:jc w:val="both"/>
        <w:rPr>
          <w:lang w:val="lv-LV" w:eastAsia="lv-LV"/>
        </w:rPr>
      </w:pPr>
      <w:r w:rsidRPr="001A0A0B">
        <w:rPr>
          <w:lang w:val="lv-LV" w:eastAsia="lv-LV"/>
        </w:rPr>
        <w:t>ievērot AKKA/LAA Statūtus;</w:t>
      </w:r>
    </w:p>
    <w:p w:rsidR="006A2786" w:rsidRPr="001A0A0B" w:rsidRDefault="006A2786" w:rsidP="006A2786">
      <w:pPr>
        <w:numPr>
          <w:ilvl w:val="0"/>
          <w:numId w:val="5"/>
        </w:numPr>
        <w:autoSpaceDE w:val="0"/>
        <w:autoSpaceDN w:val="0"/>
        <w:adjustRightInd w:val="0"/>
        <w:jc w:val="both"/>
        <w:rPr>
          <w:lang w:val="lv-LV" w:eastAsia="lv-LV"/>
        </w:rPr>
      </w:pPr>
      <w:r w:rsidRPr="001A0A0B">
        <w:rPr>
          <w:lang w:val="lv-LV" w:eastAsia="lv-LV"/>
        </w:rPr>
        <w:t>pildīt kopsapulces un padomes lēmumus;</w:t>
      </w:r>
    </w:p>
    <w:p w:rsidR="006A2786" w:rsidRPr="001A0A0B" w:rsidRDefault="006A2786" w:rsidP="006A2786">
      <w:pPr>
        <w:numPr>
          <w:ilvl w:val="0"/>
          <w:numId w:val="5"/>
        </w:numPr>
        <w:autoSpaceDE w:val="0"/>
        <w:autoSpaceDN w:val="0"/>
        <w:adjustRightInd w:val="0"/>
        <w:jc w:val="both"/>
        <w:rPr>
          <w:lang w:val="lv-LV" w:eastAsia="lv-LV"/>
        </w:rPr>
      </w:pPr>
      <w:r w:rsidRPr="001A0A0B">
        <w:rPr>
          <w:lang w:val="lv-LV" w:eastAsia="lv-LV"/>
        </w:rPr>
        <w:t>samaksāt iestāšanās maksu un regulāri maksāt biedru maksu padomes noteiktajā apmērā un kārtībā;</w:t>
      </w:r>
    </w:p>
    <w:p w:rsidR="006A2786" w:rsidRPr="001A0A0B" w:rsidRDefault="006A2786" w:rsidP="006A2786">
      <w:pPr>
        <w:numPr>
          <w:ilvl w:val="0"/>
          <w:numId w:val="5"/>
        </w:numPr>
        <w:autoSpaceDE w:val="0"/>
        <w:autoSpaceDN w:val="0"/>
        <w:adjustRightInd w:val="0"/>
        <w:jc w:val="both"/>
        <w:rPr>
          <w:lang w:val="lv-LV" w:eastAsia="lv-LV"/>
        </w:rPr>
      </w:pPr>
      <w:r w:rsidRPr="001A0A0B">
        <w:rPr>
          <w:lang w:val="lv-LV" w:eastAsia="lv-LV"/>
        </w:rPr>
        <w:t>vienlaikus neiestāties par biedru citās autoru mantisko tiesību kolektīvā pārvaldījuma organizācijās, kuras veic kolektīvo pārvaldījumu attiecībā uz tādiem pašiem autortiesību objektu izmantošanas veidiem kā AKKA/LAA;</w:t>
      </w:r>
    </w:p>
    <w:p w:rsidR="006A2786" w:rsidRPr="001A0A0B" w:rsidRDefault="006A2786" w:rsidP="006A2786">
      <w:pPr>
        <w:numPr>
          <w:ilvl w:val="0"/>
          <w:numId w:val="5"/>
        </w:numPr>
        <w:autoSpaceDE w:val="0"/>
        <w:autoSpaceDN w:val="0"/>
        <w:adjustRightInd w:val="0"/>
        <w:jc w:val="both"/>
        <w:rPr>
          <w:lang w:val="lv-LV" w:eastAsia="lv-LV"/>
        </w:rPr>
      </w:pPr>
      <w:r w:rsidRPr="001A0A0B">
        <w:rPr>
          <w:lang w:val="lv-LV" w:eastAsia="lv-LV"/>
        </w:rPr>
        <w:t>ar savu aktīvu līdzdarbību atbalstīt AKKA/LAA mērķu un uzdevumu realizēšanu;</w:t>
      </w:r>
    </w:p>
    <w:p w:rsidR="006A2786" w:rsidRPr="001A0A0B" w:rsidRDefault="006A2786" w:rsidP="006A2786">
      <w:pPr>
        <w:numPr>
          <w:ilvl w:val="0"/>
          <w:numId w:val="5"/>
        </w:numPr>
        <w:autoSpaceDE w:val="0"/>
        <w:autoSpaceDN w:val="0"/>
        <w:adjustRightInd w:val="0"/>
        <w:jc w:val="both"/>
        <w:rPr>
          <w:lang w:val="lv-LV" w:eastAsia="lv-LV"/>
        </w:rPr>
      </w:pPr>
      <w:r w:rsidRPr="001A0A0B">
        <w:rPr>
          <w:lang w:val="lv-LV" w:eastAsia="lv-LV"/>
        </w:rPr>
        <w:t>pašiem aktīvi rūpēties par savu darbu izmantošanu, t.sk. izplatīšanu, sadarbojoties ar izdevniecībām, koncertorganizācijām, teātriem, raidorganizācijām un citiem autoru darbu lietotājiem;</w:t>
      </w:r>
    </w:p>
    <w:p w:rsidR="006A2786" w:rsidRPr="001A0A0B" w:rsidRDefault="006A2786" w:rsidP="006A2786">
      <w:pPr>
        <w:numPr>
          <w:ilvl w:val="0"/>
          <w:numId w:val="5"/>
        </w:numPr>
        <w:autoSpaceDE w:val="0"/>
        <w:autoSpaceDN w:val="0"/>
        <w:adjustRightInd w:val="0"/>
        <w:jc w:val="both"/>
        <w:rPr>
          <w:lang w:val="lv-LV" w:eastAsia="lv-LV"/>
        </w:rPr>
      </w:pPr>
      <w:r w:rsidRPr="001A0A0B">
        <w:rPr>
          <w:lang w:val="lv-LV" w:eastAsia="lv-LV"/>
        </w:rPr>
        <w:t>augsti turēt AKKA/LAA labo vārdu un nepieļaut rīcību, kas grauj AKKA/LAA reputāciju sabiedrībā.</w:t>
      </w:r>
    </w:p>
    <w:p w:rsidR="006A2786" w:rsidRDefault="006A2786" w:rsidP="006A2786">
      <w:pPr>
        <w:rPr>
          <w:lang w:val="lv-LV"/>
        </w:rPr>
      </w:pPr>
    </w:p>
    <w:p w:rsidR="006A2786" w:rsidRPr="001A0A0B" w:rsidRDefault="006A2786" w:rsidP="006A2786">
      <w:pPr>
        <w:rPr>
          <w:lang w:val="lv-LV"/>
        </w:rPr>
      </w:pPr>
    </w:p>
    <w:p w:rsidR="006A2786" w:rsidRPr="001A0A0B" w:rsidRDefault="006A2786" w:rsidP="006A2786">
      <w:pPr>
        <w:pStyle w:val="Heading2"/>
        <w:numPr>
          <w:ilvl w:val="0"/>
          <w:numId w:val="1"/>
        </w:numPr>
        <w:spacing w:before="120"/>
      </w:pPr>
      <w:bookmarkStart w:id="3" w:name="_Toc319679497"/>
      <w:r w:rsidRPr="001A0A0B">
        <w:lastRenderedPageBreak/>
        <w:t>Biedru uzņemšanas noteikumi</w:t>
      </w:r>
      <w:bookmarkEnd w:id="3"/>
    </w:p>
    <w:p w:rsidR="006A2786" w:rsidRPr="001A0A0B" w:rsidRDefault="006A2786" w:rsidP="006A2786">
      <w:pPr>
        <w:autoSpaceDE w:val="0"/>
        <w:autoSpaceDN w:val="0"/>
        <w:adjustRightInd w:val="0"/>
        <w:rPr>
          <w:b/>
          <w:bCs/>
          <w:lang w:val="lv-LV" w:eastAsia="lv-LV"/>
        </w:rPr>
      </w:pPr>
    </w:p>
    <w:p w:rsidR="006A2786" w:rsidRPr="001A0A0B" w:rsidRDefault="006A2786" w:rsidP="006A2786">
      <w:pPr>
        <w:autoSpaceDE w:val="0"/>
        <w:autoSpaceDN w:val="0"/>
        <w:adjustRightInd w:val="0"/>
        <w:rPr>
          <w:lang w:val="lv-LV" w:eastAsia="lv-LV"/>
        </w:rPr>
      </w:pPr>
    </w:p>
    <w:p w:rsidR="006A2786" w:rsidRPr="001A0A0B" w:rsidRDefault="006A2786" w:rsidP="006A2786">
      <w:pPr>
        <w:autoSpaceDE w:val="0"/>
        <w:autoSpaceDN w:val="0"/>
        <w:adjustRightInd w:val="0"/>
        <w:jc w:val="both"/>
        <w:rPr>
          <w:lang w:val="lv-LV" w:eastAsia="lv-LV"/>
        </w:rPr>
      </w:pPr>
      <w:r w:rsidRPr="001A0A0B">
        <w:rPr>
          <w:lang w:val="lv-LV" w:eastAsia="lv-LV"/>
        </w:rPr>
        <w:t>Autoram vai izdevniecībai</w:t>
      </w:r>
      <w:r w:rsidR="00E26D6A">
        <w:rPr>
          <w:lang w:val="lv-LV" w:eastAsia="lv-LV"/>
        </w:rPr>
        <w:t xml:space="preserve"> (turpmāk – tiesību īpašniekam)</w:t>
      </w:r>
      <w:r w:rsidRPr="001A0A0B">
        <w:rPr>
          <w:lang w:val="lv-LV" w:eastAsia="lv-LV"/>
        </w:rPr>
        <w:t xml:space="preserve"> jāinformē AKKA/LAA par vēlmi kļūt par AKKA/LAA biedru, norādot savas koordinātes un informācijas saņemšanas veidu.</w:t>
      </w:r>
    </w:p>
    <w:p w:rsidR="006A2786" w:rsidRPr="001A0A0B" w:rsidRDefault="006A2786" w:rsidP="006A2786">
      <w:pPr>
        <w:autoSpaceDE w:val="0"/>
        <w:autoSpaceDN w:val="0"/>
        <w:adjustRightInd w:val="0"/>
        <w:jc w:val="both"/>
        <w:rPr>
          <w:lang w:val="lv-LV" w:eastAsia="lv-LV"/>
        </w:rPr>
      </w:pPr>
    </w:p>
    <w:p w:rsidR="006A2786" w:rsidRPr="001A0A0B" w:rsidRDefault="00E26D6A" w:rsidP="006A2786">
      <w:pPr>
        <w:autoSpaceDE w:val="0"/>
        <w:autoSpaceDN w:val="0"/>
        <w:adjustRightInd w:val="0"/>
        <w:jc w:val="both"/>
        <w:rPr>
          <w:lang w:val="lv-LV" w:eastAsia="lv-LV"/>
        </w:rPr>
      </w:pPr>
      <w:r>
        <w:rPr>
          <w:lang w:val="lv-LV" w:eastAsia="lv-LV"/>
        </w:rPr>
        <w:t>AKKA/LAA</w:t>
      </w:r>
      <w:r w:rsidR="006A2786" w:rsidRPr="001A0A0B">
        <w:rPr>
          <w:lang w:val="lv-LV" w:eastAsia="lv-LV"/>
        </w:rPr>
        <w:t xml:space="preserve"> nosūta </w:t>
      </w:r>
      <w:r>
        <w:rPr>
          <w:lang w:val="lv-LV" w:eastAsia="lv-LV"/>
        </w:rPr>
        <w:t xml:space="preserve">tiesību īpašniekam </w:t>
      </w:r>
      <w:r w:rsidR="006A2786" w:rsidRPr="001A0A0B">
        <w:rPr>
          <w:lang w:val="lv-LV" w:eastAsia="lv-LV"/>
        </w:rPr>
        <w:t xml:space="preserve">elektroniski vai </w:t>
      </w:r>
      <w:r w:rsidR="006A2786">
        <w:rPr>
          <w:lang w:val="lv-LV" w:eastAsia="lv-LV"/>
        </w:rPr>
        <w:t xml:space="preserve">pa </w:t>
      </w:r>
      <w:r w:rsidR="006A2786" w:rsidRPr="001A0A0B">
        <w:rPr>
          <w:lang w:val="lv-LV" w:eastAsia="lv-LV"/>
        </w:rPr>
        <w:t>pastu:</w:t>
      </w:r>
    </w:p>
    <w:p w:rsidR="006A2786" w:rsidRPr="001A0A0B" w:rsidRDefault="006A2786" w:rsidP="006A2786">
      <w:pPr>
        <w:numPr>
          <w:ilvl w:val="0"/>
          <w:numId w:val="10"/>
        </w:numPr>
        <w:autoSpaceDE w:val="0"/>
        <w:autoSpaceDN w:val="0"/>
        <w:adjustRightInd w:val="0"/>
        <w:jc w:val="both"/>
        <w:rPr>
          <w:lang w:val="lv-LV" w:eastAsia="lv-LV"/>
        </w:rPr>
      </w:pPr>
      <w:r w:rsidRPr="001A0A0B">
        <w:rPr>
          <w:lang w:val="lv-LV" w:eastAsia="lv-LV"/>
        </w:rPr>
        <w:t>pieteikuma veidlapu</w:t>
      </w:r>
      <w:r>
        <w:rPr>
          <w:lang w:val="lv-LV" w:eastAsia="lv-LV"/>
        </w:rPr>
        <w:t xml:space="preserve"> </w:t>
      </w:r>
      <w:r w:rsidRPr="001A0A0B">
        <w:rPr>
          <w:lang w:val="lv-LV" w:eastAsia="lv-LV"/>
        </w:rPr>
        <w:t>uzņemšanai par AKKA/LAA biedru;</w:t>
      </w:r>
    </w:p>
    <w:p w:rsidR="006A2786" w:rsidRPr="001A0A0B" w:rsidRDefault="006A2786" w:rsidP="006A2786">
      <w:pPr>
        <w:numPr>
          <w:ilvl w:val="0"/>
          <w:numId w:val="10"/>
        </w:numPr>
        <w:autoSpaceDE w:val="0"/>
        <w:autoSpaceDN w:val="0"/>
        <w:adjustRightInd w:val="0"/>
        <w:jc w:val="both"/>
        <w:rPr>
          <w:lang w:val="lv-LV" w:eastAsia="lv-LV"/>
        </w:rPr>
      </w:pPr>
      <w:r w:rsidRPr="001A0A0B">
        <w:rPr>
          <w:lang w:val="lv-LV" w:eastAsia="lv-LV"/>
        </w:rPr>
        <w:t>AKKA/LAA statūtu kopiju;</w:t>
      </w:r>
    </w:p>
    <w:p w:rsidR="006A2786" w:rsidRPr="001A0A0B" w:rsidRDefault="006A2786" w:rsidP="006A2786">
      <w:pPr>
        <w:numPr>
          <w:ilvl w:val="0"/>
          <w:numId w:val="10"/>
        </w:numPr>
        <w:autoSpaceDE w:val="0"/>
        <w:autoSpaceDN w:val="0"/>
        <w:adjustRightInd w:val="0"/>
        <w:jc w:val="both"/>
        <w:rPr>
          <w:lang w:val="lv-LV" w:eastAsia="lv-LV"/>
        </w:rPr>
      </w:pPr>
      <w:r>
        <w:rPr>
          <w:lang w:val="lv-LV" w:eastAsia="lv-LV"/>
        </w:rPr>
        <w:t>informāciju</w:t>
      </w:r>
      <w:r w:rsidRPr="001A0A0B">
        <w:rPr>
          <w:lang w:val="lv-LV" w:eastAsia="lv-LV"/>
        </w:rPr>
        <w:t xml:space="preserve"> par iestāšanās maksas un biedra maksas apmēru un iekasēšanas kārtību</w:t>
      </w:r>
      <w:r>
        <w:rPr>
          <w:lang w:val="lv-LV" w:eastAsia="lv-LV"/>
        </w:rPr>
        <w:t>.</w:t>
      </w:r>
    </w:p>
    <w:p w:rsidR="006A2786" w:rsidRPr="001A0A0B" w:rsidRDefault="006A2786" w:rsidP="006A2786">
      <w:pPr>
        <w:autoSpaceDE w:val="0"/>
        <w:autoSpaceDN w:val="0"/>
        <w:adjustRightInd w:val="0"/>
        <w:jc w:val="both"/>
        <w:rPr>
          <w:lang w:val="lv-LV" w:eastAsia="lv-LV"/>
        </w:rPr>
      </w:pPr>
    </w:p>
    <w:p w:rsidR="006A2786" w:rsidRPr="001A0A0B" w:rsidRDefault="006A2786" w:rsidP="006A2786">
      <w:pPr>
        <w:autoSpaceDE w:val="0"/>
        <w:autoSpaceDN w:val="0"/>
        <w:adjustRightInd w:val="0"/>
        <w:jc w:val="both"/>
        <w:rPr>
          <w:lang w:val="lv-LV" w:eastAsia="lv-LV"/>
        </w:rPr>
      </w:pPr>
      <w:r w:rsidRPr="001A0A0B">
        <w:rPr>
          <w:lang w:val="lv-LV" w:eastAsia="lv-LV"/>
        </w:rPr>
        <w:t>Autoram, lai kļūtu par biedru</w:t>
      </w:r>
      <w:r>
        <w:rPr>
          <w:lang w:val="lv-LV" w:eastAsia="lv-LV"/>
        </w:rPr>
        <w:t>,</w:t>
      </w:r>
      <w:r w:rsidRPr="001A0A0B">
        <w:rPr>
          <w:lang w:val="lv-LV" w:eastAsia="lv-LV"/>
        </w:rPr>
        <w:t xml:space="preserve"> jāiepazīstas ar AKKA/LAA biedru pienākumiem un tiesībām un jāiesniedz  personīgi vai jāatsūta pa pastu aizpildīta un parakstīta pieteikuma  veidlapa.</w:t>
      </w:r>
    </w:p>
    <w:p w:rsidR="006A2786" w:rsidRPr="001A0A0B" w:rsidRDefault="006A2786" w:rsidP="006A2786">
      <w:pPr>
        <w:autoSpaceDE w:val="0"/>
        <w:autoSpaceDN w:val="0"/>
        <w:adjustRightInd w:val="0"/>
        <w:jc w:val="both"/>
        <w:rPr>
          <w:lang w:val="lv-LV" w:eastAsia="lv-LV"/>
        </w:rPr>
      </w:pPr>
    </w:p>
    <w:p w:rsidR="006A2786" w:rsidRPr="001A0A0B" w:rsidRDefault="006A2786" w:rsidP="006A2786">
      <w:pPr>
        <w:autoSpaceDE w:val="0"/>
        <w:autoSpaceDN w:val="0"/>
        <w:adjustRightInd w:val="0"/>
        <w:jc w:val="both"/>
        <w:rPr>
          <w:lang w:val="lv-LV" w:eastAsia="lv-LV"/>
        </w:rPr>
      </w:pPr>
      <w:r w:rsidRPr="001A0A0B">
        <w:rPr>
          <w:lang w:val="lv-LV" w:eastAsia="lv-LV"/>
        </w:rPr>
        <w:t>Izdevniecībai, lai kļūtu par biedru, jāiepazīstas ar AKKA/LAA biedru pienākumiem un tiesībām, savos statūtos noteiktajā kārtībā jāpilnvaro pārstāvis - fiziska persona, kam jāiesniedz  personīgi vai jāatsūta pa pastu aizpildīta un parakstīta pieteikuma  veidlapa un pilnvara parakstīt pieteikumu.</w:t>
      </w:r>
    </w:p>
    <w:p w:rsidR="006A2786" w:rsidRPr="001A0A0B" w:rsidRDefault="006A2786" w:rsidP="006A2786">
      <w:pPr>
        <w:autoSpaceDE w:val="0"/>
        <w:autoSpaceDN w:val="0"/>
        <w:adjustRightInd w:val="0"/>
        <w:jc w:val="both"/>
        <w:rPr>
          <w:lang w:val="lv-LV" w:eastAsia="lv-LV"/>
        </w:rPr>
      </w:pPr>
    </w:p>
    <w:p w:rsidR="006A2786" w:rsidRPr="001A0A0B" w:rsidRDefault="006A2786" w:rsidP="006A2786">
      <w:pPr>
        <w:autoSpaceDE w:val="0"/>
        <w:autoSpaceDN w:val="0"/>
        <w:adjustRightInd w:val="0"/>
        <w:jc w:val="both"/>
        <w:rPr>
          <w:lang w:val="lv-LV" w:eastAsia="lv-LV"/>
        </w:rPr>
      </w:pPr>
      <w:r w:rsidRPr="001A0A0B">
        <w:rPr>
          <w:lang w:val="lv-LV" w:eastAsia="lv-LV"/>
        </w:rPr>
        <w:t>Pieteikumi tiek izskatīti tuvākajā padomes sēdē, padomes locekļiem atklāti balsojot par uzņemšanu. Padomes lēmumam par personas neuzņemšanu par biedru ir jābūt motivētam.</w:t>
      </w:r>
    </w:p>
    <w:p w:rsidR="006A2786" w:rsidRPr="001A0A0B" w:rsidRDefault="006A2786" w:rsidP="006A2786">
      <w:pPr>
        <w:autoSpaceDE w:val="0"/>
        <w:autoSpaceDN w:val="0"/>
        <w:adjustRightInd w:val="0"/>
        <w:rPr>
          <w:lang w:val="lv-LV" w:eastAsia="lv-LV"/>
        </w:rPr>
      </w:pPr>
    </w:p>
    <w:p w:rsidR="006A2786" w:rsidRPr="001A0A0B" w:rsidRDefault="006A2786" w:rsidP="006A2786">
      <w:pPr>
        <w:autoSpaceDE w:val="0"/>
        <w:autoSpaceDN w:val="0"/>
        <w:adjustRightInd w:val="0"/>
        <w:rPr>
          <w:lang w:val="lv-LV" w:eastAsia="lv-LV"/>
        </w:rPr>
      </w:pPr>
      <w:r w:rsidRPr="001A0A0B">
        <w:rPr>
          <w:lang w:val="lv-LV" w:eastAsia="lv-LV"/>
        </w:rPr>
        <w:t xml:space="preserve">Pēc padomes sēdes </w:t>
      </w:r>
      <w:r>
        <w:rPr>
          <w:lang w:val="lv-LV" w:eastAsia="lv-LV"/>
        </w:rPr>
        <w:t>tiesību īpašnieku</w:t>
      </w:r>
      <w:r w:rsidRPr="006A2786">
        <w:rPr>
          <w:lang w:val="lv-LV" w:eastAsia="lv-LV"/>
        </w:rPr>
        <w:t xml:space="preserve"> </w:t>
      </w:r>
      <w:r w:rsidRPr="001A0A0B">
        <w:rPr>
          <w:lang w:val="lv-LV" w:eastAsia="lv-LV"/>
        </w:rPr>
        <w:t>rakstiski informē par padomes lēmumu un norāda:</w:t>
      </w:r>
    </w:p>
    <w:p w:rsidR="006A2786" w:rsidRPr="001A0A0B" w:rsidRDefault="006A2786" w:rsidP="00E26D6A">
      <w:pPr>
        <w:numPr>
          <w:ilvl w:val="1"/>
          <w:numId w:val="8"/>
        </w:numPr>
        <w:autoSpaceDE w:val="0"/>
        <w:autoSpaceDN w:val="0"/>
        <w:adjustRightInd w:val="0"/>
        <w:ind w:left="567" w:hanging="240"/>
        <w:jc w:val="both"/>
        <w:rPr>
          <w:lang w:val="lv-LV" w:eastAsia="lv-LV"/>
        </w:rPr>
      </w:pPr>
      <w:r w:rsidRPr="001A0A0B">
        <w:rPr>
          <w:lang w:val="lv-LV" w:eastAsia="lv-LV"/>
        </w:rPr>
        <w:t>informāciju par iestāšanās maksas un biedra maksas apmēru, ja padome ap</w:t>
      </w:r>
      <w:r>
        <w:rPr>
          <w:lang w:val="lv-LV" w:eastAsia="lv-LV"/>
        </w:rPr>
        <w:t>stiprinājusi biedra kandidatūru;</w:t>
      </w:r>
    </w:p>
    <w:p w:rsidR="006A2786" w:rsidRPr="001A0A0B" w:rsidRDefault="006A2786" w:rsidP="00E26D6A">
      <w:pPr>
        <w:numPr>
          <w:ilvl w:val="1"/>
          <w:numId w:val="8"/>
        </w:numPr>
        <w:autoSpaceDE w:val="0"/>
        <w:autoSpaceDN w:val="0"/>
        <w:adjustRightInd w:val="0"/>
        <w:ind w:left="567" w:hanging="240"/>
        <w:jc w:val="both"/>
        <w:rPr>
          <w:lang w:val="lv-LV" w:eastAsia="lv-LV"/>
        </w:rPr>
      </w:pPr>
      <w:r w:rsidRPr="001A0A0B">
        <w:rPr>
          <w:lang w:val="lv-LV" w:eastAsia="lv-LV"/>
        </w:rPr>
        <w:t>atteikuma iemeslu, ja padome nolēmusi neuzņemt kand</w:t>
      </w:r>
      <w:r>
        <w:rPr>
          <w:lang w:val="lv-LV" w:eastAsia="lv-LV"/>
        </w:rPr>
        <w:t>idātu par AKKA/LAA biedru.</w:t>
      </w:r>
    </w:p>
    <w:p w:rsidR="006A2786" w:rsidRPr="001A0A0B" w:rsidRDefault="006A2786" w:rsidP="006A2786">
      <w:pPr>
        <w:autoSpaceDE w:val="0"/>
        <w:autoSpaceDN w:val="0"/>
        <w:adjustRightInd w:val="0"/>
        <w:ind w:left="1080"/>
        <w:rPr>
          <w:lang w:val="lv-LV" w:eastAsia="lv-LV"/>
        </w:rPr>
      </w:pPr>
    </w:p>
    <w:p w:rsidR="006A2786" w:rsidRPr="001A0A0B" w:rsidRDefault="006A2786" w:rsidP="006A2786">
      <w:pPr>
        <w:autoSpaceDE w:val="0"/>
        <w:autoSpaceDN w:val="0"/>
        <w:adjustRightInd w:val="0"/>
        <w:jc w:val="both"/>
        <w:rPr>
          <w:lang w:val="lv-LV" w:eastAsia="lv-LV"/>
        </w:rPr>
      </w:pPr>
      <w:r w:rsidRPr="001A0A0B">
        <w:rPr>
          <w:lang w:val="lv-LV" w:eastAsia="lv-LV"/>
        </w:rPr>
        <w:t>Lēmumu par personas neuzņemšanu par biedru rakstveidā var pārsūdzēt kopsapulcei. Ja arī kopsapulce noraida pieteicēja lūgumu, pieteicējs nav uzņemts par biedru, un viņš var iesniegt atkārtotu pieteikumu ne ātrāk kā pēc gada.</w:t>
      </w:r>
    </w:p>
    <w:p w:rsidR="006A2786" w:rsidRPr="001A0A0B" w:rsidRDefault="006A2786" w:rsidP="006A2786">
      <w:pPr>
        <w:autoSpaceDE w:val="0"/>
        <w:autoSpaceDN w:val="0"/>
        <w:adjustRightInd w:val="0"/>
        <w:rPr>
          <w:b/>
          <w:bCs/>
          <w:lang w:val="lv-LV" w:eastAsia="lv-LV"/>
        </w:rPr>
      </w:pPr>
    </w:p>
    <w:p w:rsidR="006A2786" w:rsidRPr="001A0A0B" w:rsidRDefault="006A2786" w:rsidP="006A2786">
      <w:pPr>
        <w:pStyle w:val="Heading2"/>
        <w:numPr>
          <w:ilvl w:val="0"/>
          <w:numId w:val="1"/>
        </w:numPr>
        <w:autoSpaceDE w:val="0"/>
        <w:autoSpaceDN w:val="0"/>
        <w:adjustRightInd w:val="0"/>
        <w:spacing w:before="120"/>
        <w:rPr>
          <w:lang w:eastAsia="lv-LV"/>
        </w:rPr>
      </w:pPr>
      <w:bookmarkStart w:id="4" w:name="_Toc319679498"/>
      <w:r w:rsidRPr="001A0A0B">
        <w:t>Biedru izslēgšanas noteikumi</w:t>
      </w:r>
      <w:bookmarkEnd w:id="4"/>
    </w:p>
    <w:p w:rsidR="006A2786" w:rsidRPr="001A0A0B" w:rsidRDefault="006A2786" w:rsidP="006A2786">
      <w:pPr>
        <w:autoSpaceDE w:val="0"/>
        <w:autoSpaceDN w:val="0"/>
        <w:adjustRightInd w:val="0"/>
        <w:rPr>
          <w:lang w:val="lv-LV" w:eastAsia="lv-LV"/>
        </w:rPr>
      </w:pPr>
    </w:p>
    <w:p w:rsidR="006A2786" w:rsidRPr="001A0A0B" w:rsidRDefault="006A2786" w:rsidP="006A2786">
      <w:pPr>
        <w:autoSpaceDE w:val="0"/>
        <w:autoSpaceDN w:val="0"/>
        <w:adjustRightInd w:val="0"/>
        <w:jc w:val="both"/>
        <w:rPr>
          <w:lang w:val="lv-LV" w:eastAsia="lv-LV"/>
        </w:rPr>
      </w:pPr>
      <w:r w:rsidRPr="001A0A0B">
        <w:rPr>
          <w:lang w:val="lv-LV" w:eastAsia="lv-LV"/>
        </w:rPr>
        <w:t>Personu no biedru vidus var izslēgt padome ar savu lēmumu, ja ir konstatēts kāds no šādiem faktiem:</w:t>
      </w:r>
    </w:p>
    <w:p w:rsidR="006A2786" w:rsidRPr="001A0A0B" w:rsidRDefault="006A2786" w:rsidP="006A2786">
      <w:pPr>
        <w:autoSpaceDE w:val="0"/>
        <w:autoSpaceDN w:val="0"/>
        <w:adjustRightInd w:val="0"/>
        <w:rPr>
          <w:lang w:val="lv-LV" w:eastAsia="lv-LV"/>
        </w:rPr>
      </w:pPr>
      <w:r w:rsidRPr="001A0A0B">
        <w:rPr>
          <w:lang w:val="lv-LV" w:eastAsia="lv-LV"/>
        </w:rPr>
        <w:t>1) biedrs nepilda kopsapulces un padomes lēmumus;</w:t>
      </w:r>
    </w:p>
    <w:p w:rsidR="006A2786" w:rsidRPr="001A0A0B" w:rsidRDefault="006A2786" w:rsidP="006A2786">
      <w:pPr>
        <w:autoSpaceDE w:val="0"/>
        <w:autoSpaceDN w:val="0"/>
        <w:adjustRightInd w:val="0"/>
        <w:rPr>
          <w:lang w:val="lv-LV" w:eastAsia="lv-LV"/>
        </w:rPr>
      </w:pPr>
      <w:r w:rsidRPr="001A0A0B">
        <w:rPr>
          <w:lang w:val="lv-LV" w:eastAsia="lv-LV"/>
        </w:rPr>
        <w:t>2) biedrs ar savu darbību apzināti traucē AKKA/LAA mērķu sasniegšanu un</w:t>
      </w:r>
    </w:p>
    <w:p w:rsidR="006A2786" w:rsidRPr="001A0A0B" w:rsidRDefault="006A2786" w:rsidP="006A2786">
      <w:pPr>
        <w:autoSpaceDE w:val="0"/>
        <w:autoSpaceDN w:val="0"/>
        <w:adjustRightInd w:val="0"/>
        <w:jc w:val="both"/>
        <w:rPr>
          <w:lang w:val="lv-LV" w:eastAsia="lv-LV"/>
        </w:rPr>
      </w:pPr>
      <w:r w:rsidRPr="001A0A0B">
        <w:rPr>
          <w:lang w:val="lv-LV" w:eastAsia="lv-LV"/>
        </w:rPr>
        <w:t>uzdevumu izpildi;</w:t>
      </w:r>
    </w:p>
    <w:p w:rsidR="006A2786" w:rsidRPr="001A0A0B" w:rsidRDefault="006A2786" w:rsidP="006A2786">
      <w:pPr>
        <w:autoSpaceDE w:val="0"/>
        <w:autoSpaceDN w:val="0"/>
        <w:adjustRightInd w:val="0"/>
        <w:jc w:val="both"/>
        <w:rPr>
          <w:lang w:val="lv-LV" w:eastAsia="lv-LV"/>
        </w:rPr>
      </w:pPr>
      <w:r w:rsidRPr="001A0A0B">
        <w:rPr>
          <w:lang w:val="lv-LV" w:eastAsia="lv-LV"/>
        </w:rPr>
        <w:t>3) biedrs ar savu darbību ir nodarījis AKKA/LAA materiālus zaudējumus;</w:t>
      </w:r>
    </w:p>
    <w:p w:rsidR="006A2786" w:rsidRPr="001A0A0B" w:rsidRDefault="006A2786" w:rsidP="006A2786">
      <w:pPr>
        <w:autoSpaceDE w:val="0"/>
        <w:autoSpaceDN w:val="0"/>
        <w:adjustRightInd w:val="0"/>
        <w:jc w:val="both"/>
        <w:rPr>
          <w:lang w:val="lv-LV" w:eastAsia="lv-LV"/>
        </w:rPr>
      </w:pPr>
      <w:r w:rsidRPr="001A0A0B">
        <w:rPr>
          <w:lang w:val="lv-LV" w:eastAsia="lv-LV"/>
        </w:rPr>
        <w:t>4) biedrs ar savu darbību ir nodarījis AKKA/LAA morālu kaitējumu;</w:t>
      </w:r>
    </w:p>
    <w:p w:rsidR="006A2786" w:rsidRPr="001A0A0B" w:rsidRDefault="006A2786" w:rsidP="006A2786">
      <w:pPr>
        <w:autoSpaceDE w:val="0"/>
        <w:autoSpaceDN w:val="0"/>
        <w:adjustRightInd w:val="0"/>
        <w:jc w:val="both"/>
        <w:rPr>
          <w:lang w:val="lv-LV" w:eastAsia="lv-LV"/>
        </w:rPr>
      </w:pPr>
      <w:r w:rsidRPr="001A0A0B">
        <w:rPr>
          <w:lang w:val="lv-LV" w:eastAsia="lv-LV"/>
        </w:rPr>
        <w:t>5) biedrs ir izbeidzis līgumattiecības ar AKKA/LAA;</w:t>
      </w:r>
    </w:p>
    <w:p w:rsidR="006A2786" w:rsidRPr="001A0A0B" w:rsidRDefault="006A2786" w:rsidP="006A2786">
      <w:pPr>
        <w:autoSpaceDE w:val="0"/>
        <w:autoSpaceDN w:val="0"/>
        <w:adjustRightInd w:val="0"/>
        <w:jc w:val="both"/>
        <w:rPr>
          <w:lang w:val="lv-LV" w:eastAsia="lv-LV"/>
        </w:rPr>
      </w:pPr>
      <w:r w:rsidRPr="001A0A0B">
        <w:rPr>
          <w:lang w:val="lv-LV" w:eastAsia="lv-LV"/>
        </w:rPr>
        <w:t>6) biedrs nav samaksājis iestāšanās vai biedru maksu padomes noteiktā apmērā un kārtībā;</w:t>
      </w:r>
    </w:p>
    <w:p w:rsidR="006A2786" w:rsidRPr="001A0A0B" w:rsidRDefault="006A2786" w:rsidP="006A2786">
      <w:pPr>
        <w:autoSpaceDE w:val="0"/>
        <w:autoSpaceDN w:val="0"/>
        <w:adjustRightInd w:val="0"/>
        <w:jc w:val="both"/>
        <w:rPr>
          <w:lang w:val="lv-LV" w:eastAsia="lv-LV"/>
        </w:rPr>
      </w:pPr>
      <w:r w:rsidRPr="001A0A0B">
        <w:rPr>
          <w:lang w:val="lv-LV" w:eastAsia="lv-LV"/>
        </w:rPr>
        <w:t>7) ja tam ir cits svarīgs iemesls.</w:t>
      </w:r>
    </w:p>
    <w:p w:rsidR="006A2786" w:rsidRPr="001A0A0B" w:rsidRDefault="006A2786" w:rsidP="006A2786">
      <w:pPr>
        <w:autoSpaceDE w:val="0"/>
        <w:autoSpaceDN w:val="0"/>
        <w:adjustRightInd w:val="0"/>
        <w:rPr>
          <w:lang w:val="lv-LV" w:eastAsia="lv-LV"/>
        </w:rPr>
      </w:pPr>
    </w:p>
    <w:p w:rsidR="006A2786" w:rsidRDefault="006A2786" w:rsidP="006A2786">
      <w:pPr>
        <w:autoSpaceDE w:val="0"/>
        <w:autoSpaceDN w:val="0"/>
        <w:adjustRightInd w:val="0"/>
        <w:jc w:val="both"/>
        <w:rPr>
          <w:lang w:val="lv-LV" w:eastAsia="lv-LV"/>
        </w:rPr>
      </w:pPr>
      <w:r w:rsidRPr="001A0A0B">
        <w:rPr>
          <w:lang w:val="lv-LV" w:eastAsia="lv-LV"/>
        </w:rPr>
        <w:lastRenderedPageBreak/>
        <w:t>Pamatotu ierosinājumu izslēgt personu no biedru vidus var iesniegt cits AKKA/LAA biedrs</w:t>
      </w:r>
      <w:r>
        <w:rPr>
          <w:lang w:val="lv-LV" w:eastAsia="lv-LV"/>
        </w:rPr>
        <w:t xml:space="preserve"> vai</w:t>
      </w:r>
      <w:r w:rsidRPr="001A0A0B">
        <w:rPr>
          <w:lang w:val="lv-LV" w:eastAsia="lv-LV"/>
        </w:rPr>
        <w:t xml:space="preserve"> padomes loceklis</w:t>
      </w:r>
      <w:r>
        <w:rPr>
          <w:lang w:val="lv-LV" w:eastAsia="lv-LV"/>
        </w:rPr>
        <w:t>.</w:t>
      </w:r>
    </w:p>
    <w:p w:rsidR="006A2786" w:rsidRDefault="006A2786" w:rsidP="006A2786">
      <w:pPr>
        <w:autoSpaceDE w:val="0"/>
        <w:autoSpaceDN w:val="0"/>
        <w:adjustRightInd w:val="0"/>
        <w:jc w:val="both"/>
        <w:rPr>
          <w:lang w:val="lv-LV" w:eastAsia="lv-LV"/>
        </w:rPr>
      </w:pPr>
    </w:p>
    <w:p w:rsidR="006A2786" w:rsidRPr="001A0A0B" w:rsidRDefault="00E26D6A" w:rsidP="006A2786">
      <w:pPr>
        <w:autoSpaceDE w:val="0"/>
        <w:autoSpaceDN w:val="0"/>
        <w:adjustRightInd w:val="0"/>
        <w:jc w:val="both"/>
        <w:rPr>
          <w:lang w:val="lv-LV" w:eastAsia="lv-LV"/>
        </w:rPr>
      </w:pPr>
      <w:r>
        <w:rPr>
          <w:lang w:val="lv-LV" w:eastAsia="lv-LV"/>
        </w:rPr>
        <w:t>AKKA/LAA</w:t>
      </w:r>
      <w:r w:rsidR="006A2786" w:rsidRPr="001A0A0B">
        <w:rPr>
          <w:lang w:val="lv-LV" w:eastAsia="lv-LV"/>
        </w:rPr>
        <w:t xml:space="preserve"> </w:t>
      </w:r>
      <w:r w:rsidR="006A2786">
        <w:rPr>
          <w:lang w:val="lv-LV" w:eastAsia="lv-LV"/>
        </w:rPr>
        <w:t>rakstiski informē</w:t>
      </w:r>
      <w:r w:rsidR="006A2786" w:rsidRPr="001A0A0B">
        <w:rPr>
          <w:lang w:val="lv-LV" w:eastAsia="lv-LV"/>
        </w:rPr>
        <w:t xml:space="preserve"> izslēdzam</w:t>
      </w:r>
      <w:r w:rsidR="006A2786">
        <w:rPr>
          <w:lang w:val="lv-LV" w:eastAsia="lv-LV"/>
        </w:rPr>
        <w:t>o</w:t>
      </w:r>
      <w:r w:rsidR="006A2786" w:rsidRPr="001A0A0B">
        <w:rPr>
          <w:lang w:val="lv-LV" w:eastAsia="lv-LV"/>
        </w:rPr>
        <w:t xml:space="preserve"> biedr</w:t>
      </w:r>
      <w:r w:rsidR="006A2786">
        <w:rPr>
          <w:lang w:val="lv-LV" w:eastAsia="lv-LV"/>
        </w:rPr>
        <w:t>u un</w:t>
      </w:r>
      <w:r w:rsidR="006A2786" w:rsidRPr="001A0A0B">
        <w:rPr>
          <w:lang w:val="lv-LV" w:eastAsia="lv-LV"/>
        </w:rPr>
        <w:t xml:space="preserve"> uzaicin</w:t>
      </w:r>
      <w:r w:rsidR="006A2786">
        <w:rPr>
          <w:lang w:val="lv-LV" w:eastAsia="lv-LV"/>
        </w:rPr>
        <w:t>a</w:t>
      </w:r>
      <w:r w:rsidR="006A2786" w:rsidRPr="001A0A0B">
        <w:rPr>
          <w:lang w:val="lv-LV" w:eastAsia="lv-LV"/>
        </w:rPr>
        <w:t xml:space="preserve"> uz tuvāko padomes sēdi.</w:t>
      </w:r>
    </w:p>
    <w:p w:rsidR="006A2786" w:rsidRPr="001A0A0B" w:rsidRDefault="006A2786" w:rsidP="006A2786">
      <w:pPr>
        <w:autoSpaceDE w:val="0"/>
        <w:autoSpaceDN w:val="0"/>
        <w:adjustRightInd w:val="0"/>
        <w:jc w:val="both"/>
        <w:rPr>
          <w:lang w:val="lv-LV" w:eastAsia="lv-LV"/>
        </w:rPr>
      </w:pPr>
    </w:p>
    <w:p w:rsidR="006A2786" w:rsidRPr="001A0A0B" w:rsidRDefault="006A2786" w:rsidP="006A2786">
      <w:pPr>
        <w:autoSpaceDE w:val="0"/>
        <w:autoSpaceDN w:val="0"/>
        <w:adjustRightInd w:val="0"/>
        <w:jc w:val="both"/>
        <w:rPr>
          <w:lang w:val="lv-LV" w:eastAsia="lv-LV"/>
        </w:rPr>
      </w:pPr>
      <w:r w:rsidRPr="001A0A0B">
        <w:rPr>
          <w:lang w:val="lv-LV" w:eastAsia="lv-LV"/>
        </w:rPr>
        <w:t xml:space="preserve">Jautājumu par biedra izslēgšanu padome izskata tuvākās sēdes laikā, dodot vārdu izslēdzamajam biedram sava viedokļa paušanai. Izslēdzamā biedra neierašanās nav šķērslis motivēta padomes lēmuma pieņemšanai. </w:t>
      </w:r>
    </w:p>
    <w:p w:rsidR="006A2786" w:rsidRPr="001A0A0B" w:rsidRDefault="006A2786" w:rsidP="006A2786">
      <w:pPr>
        <w:autoSpaceDE w:val="0"/>
        <w:autoSpaceDN w:val="0"/>
        <w:adjustRightInd w:val="0"/>
        <w:rPr>
          <w:lang w:val="lv-LV" w:eastAsia="lv-LV"/>
        </w:rPr>
      </w:pPr>
    </w:p>
    <w:p w:rsidR="006A2786" w:rsidRPr="001A0A0B" w:rsidRDefault="006A2786" w:rsidP="00E26D6A">
      <w:pPr>
        <w:autoSpaceDE w:val="0"/>
        <w:autoSpaceDN w:val="0"/>
        <w:adjustRightInd w:val="0"/>
        <w:jc w:val="both"/>
        <w:rPr>
          <w:lang w:val="lv-LV" w:eastAsia="lv-LV"/>
        </w:rPr>
      </w:pPr>
      <w:r w:rsidRPr="001A0A0B">
        <w:rPr>
          <w:lang w:val="lv-LV" w:eastAsia="lv-LV"/>
        </w:rPr>
        <w:t xml:space="preserve">Pēc padomes sēdes </w:t>
      </w:r>
      <w:r w:rsidR="00E26D6A">
        <w:rPr>
          <w:lang w:val="lv-LV" w:eastAsia="lv-LV"/>
        </w:rPr>
        <w:t xml:space="preserve">AKKA/LAA 5 dienu laikā </w:t>
      </w:r>
      <w:r w:rsidRPr="001A0A0B">
        <w:rPr>
          <w:lang w:val="lv-LV" w:eastAsia="lv-LV"/>
        </w:rPr>
        <w:t>rakstiski informē izslēdzamo biedru par padomes lēmumu un norāda lēmuma motivāciju;</w:t>
      </w:r>
    </w:p>
    <w:p w:rsidR="006A2786" w:rsidRPr="001A0A0B" w:rsidRDefault="006A2786" w:rsidP="006A2786">
      <w:pPr>
        <w:autoSpaceDE w:val="0"/>
        <w:autoSpaceDN w:val="0"/>
        <w:adjustRightInd w:val="0"/>
        <w:jc w:val="both"/>
        <w:rPr>
          <w:lang w:val="lv-LV" w:eastAsia="lv-LV"/>
        </w:rPr>
      </w:pPr>
    </w:p>
    <w:p w:rsidR="006A2786" w:rsidRPr="001A0A0B" w:rsidRDefault="006A2786" w:rsidP="006A2786">
      <w:pPr>
        <w:autoSpaceDE w:val="0"/>
        <w:autoSpaceDN w:val="0"/>
        <w:adjustRightInd w:val="0"/>
        <w:jc w:val="both"/>
        <w:rPr>
          <w:lang w:val="lv-LV" w:eastAsia="lv-LV"/>
        </w:rPr>
      </w:pPr>
      <w:r w:rsidRPr="001A0A0B">
        <w:rPr>
          <w:lang w:val="lv-LV" w:eastAsia="lv-LV"/>
        </w:rPr>
        <w:t>Padomes pieņemto lēmumu par biedra izslēgšanu biedrs var lūgt izskatīt kopsapulcē.</w:t>
      </w:r>
    </w:p>
    <w:p w:rsidR="006A2786" w:rsidRPr="001A0A0B" w:rsidRDefault="006A2786" w:rsidP="006A2786">
      <w:pPr>
        <w:rPr>
          <w:lang w:val="lv-LV" w:eastAsia="lv-LV"/>
        </w:rPr>
      </w:pPr>
    </w:p>
    <w:p w:rsidR="006A2786" w:rsidRPr="001A0A0B" w:rsidRDefault="006A2786" w:rsidP="006A2786">
      <w:pPr>
        <w:pStyle w:val="Heading2"/>
        <w:numPr>
          <w:ilvl w:val="0"/>
          <w:numId w:val="1"/>
        </w:numPr>
        <w:spacing w:before="120"/>
      </w:pPr>
      <w:bookmarkStart w:id="5" w:name="_Toc319679499"/>
      <w:r w:rsidRPr="001A0A0B">
        <w:t>Iestāšanās maksa un biedra maksa</w:t>
      </w:r>
      <w:bookmarkEnd w:id="5"/>
    </w:p>
    <w:p w:rsidR="006A2786" w:rsidRPr="001A0A0B" w:rsidRDefault="006A2786" w:rsidP="006A2786">
      <w:pPr>
        <w:rPr>
          <w:lang w:val="lv-LV"/>
        </w:rPr>
      </w:pPr>
    </w:p>
    <w:p w:rsidR="006A2786" w:rsidRPr="00972E94" w:rsidRDefault="006A2786" w:rsidP="006A2786">
      <w:pPr>
        <w:autoSpaceDE w:val="0"/>
        <w:autoSpaceDN w:val="0"/>
        <w:adjustRightInd w:val="0"/>
        <w:rPr>
          <w:lang w:val="lv-LV" w:eastAsia="lv-LV"/>
        </w:rPr>
      </w:pPr>
      <w:r w:rsidRPr="00972E94">
        <w:rPr>
          <w:lang w:val="lv-LV" w:eastAsia="lv-LV"/>
        </w:rPr>
        <w:t>AKKA/LAA padome 13.01.2005. padomes sēdē apstiprināja  iestāšanās maksas un biedra maksas apmēru un iekasēšanas kārtību.</w:t>
      </w:r>
    </w:p>
    <w:p w:rsidR="006A2786" w:rsidRPr="00972E94" w:rsidRDefault="006A2786" w:rsidP="006A2786">
      <w:pPr>
        <w:autoSpaceDE w:val="0"/>
        <w:autoSpaceDN w:val="0"/>
        <w:adjustRightInd w:val="0"/>
        <w:rPr>
          <w:lang w:val="lv-LV" w:eastAsia="lv-LV"/>
        </w:rPr>
      </w:pPr>
    </w:p>
    <w:p w:rsidR="006A2786" w:rsidRPr="00972E94" w:rsidRDefault="006A2786" w:rsidP="006A2786">
      <w:pPr>
        <w:ind w:right="372"/>
        <w:jc w:val="both"/>
        <w:rPr>
          <w:b/>
          <w:bCs/>
          <w:lang w:val="lv-LV"/>
        </w:rPr>
      </w:pPr>
      <w:r w:rsidRPr="00972E94">
        <w:rPr>
          <w:b/>
          <w:bCs/>
          <w:lang w:val="lv-LV"/>
        </w:rPr>
        <w:t>Iestāšanās maksas apmērs:</w:t>
      </w:r>
    </w:p>
    <w:p w:rsidR="006A2786" w:rsidRPr="00972E94" w:rsidRDefault="006A2786" w:rsidP="006A2786">
      <w:pPr>
        <w:ind w:right="372"/>
        <w:jc w:val="both"/>
        <w:rPr>
          <w:bCs/>
          <w:lang w:val="lv-LV"/>
        </w:rPr>
      </w:pPr>
    </w:p>
    <w:p w:rsidR="006A2786" w:rsidRPr="00E26D6A" w:rsidRDefault="006A2786" w:rsidP="006A2786">
      <w:pPr>
        <w:numPr>
          <w:ilvl w:val="0"/>
          <w:numId w:val="12"/>
        </w:numPr>
        <w:spacing w:line="480" w:lineRule="auto"/>
        <w:ind w:left="360" w:right="374"/>
        <w:jc w:val="both"/>
        <w:rPr>
          <w:lang w:val="lv-LV"/>
        </w:rPr>
      </w:pPr>
      <w:r w:rsidRPr="00E26D6A">
        <w:rPr>
          <w:bCs/>
          <w:lang w:val="lv-LV"/>
        </w:rPr>
        <w:t>fiziskai personai</w:t>
      </w:r>
      <w:r w:rsidRPr="00E26D6A">
        <w:rPr>
          <w:lang w:val="lv-LV"/>
        </w:rPr>
        <w:t xml:space="preserve"> </w:t>
      </w:r>
      <w:r w:rsidRPr="00E26D6A">
        <w:rPr>
          <w:b/>
          <w:bCs/>
          <w:lang w:val="lv-LV"/>
        </w:rPr>
        <w:t>1,42 Eur</w:t>
      </w:r>
      <w:r w:rsidRPr="00E26D6A">
        <w:rPr>
          <w:bCs/>
          <w:lang w:val="lv-LV"/>
        </w:rPr>
        <w:t xml:space="preserve">. </w:t>
      </w:r>
    </w:p>
    <w:p w:rsidR="006A2786" w:rsidRDefault="006A2786" w:rsidP="006A2786">
      <w:pPr>
        <w:tabs>
          <w:tab w:val="left" w:pos="8460"/>
        </w:tabs>
        <w:spacing w:line="480" w:lineRule="auto"/>
        <w:ind w:right="374"/>
        <w:jc w:val="both"/>
        <w:rPr>
          <w:b/>
          <w:bCs/>
          <w:lang w:val="lv-LV"/>
        </w:rPr>
      </w:pPr>
      <w:r w:rsidRPr="00E26D6A">
        <w:rPr>
          <w:bCs/>
          <w:lang w:val="lv-LV"/>
        </w:rPr>
        <w:t>2) juridiskai personai</w:t>
      </w:r>
      <w:r w:rsidRPr="00E26D6A">
        <w:rPr>
          <w:lang w:val="lv-LV"/>
        </w:rPr>
        <w:t xml:space="preserve"> </w:t>
      </w:r>
      <w:r w:rsidRPr="00E26D6A">
        <w:rPr>
          <w:b/>
          <w:bCs/>
          <w:lang w:val="lv-LV"/>
        </w:rPr>
        <w:t>14,23 Eur.</w:t>
      </w:r>
    </w:p>
    <w:p w:rsidR="006A2786" w:rsidRPr="00972E94" w:rsidRDefault="006A2786" w:rsidP="006A2786">
      <w:pPr>
        <w:ind w:right="372"/>
        <w:jc w:val="both"/>
        <w:rPr>
          <w:b/>
          <w:bCs/>
          <w:lang w:val="lv-LV"/>
        </w:rPr>
      </w:pPr>
      <w:r w:rsidRPr="00972E94">
        <w:rPr>
          <w:b/>
          <w:lang w:val="lv-LV"/>
        </w:rPr>
        <w:t xml:space="preserve">Biedra </w:t>
      </w:r>
      <w:r w:rsidRPr="00972E94">
        <w:rPr>
          <w:b/>
          <w:bCs/>
          <w:lang w:val="lv-LV"/>
        </w:rPr>
        <w:t>maksas</w:t>
      </w:r>
      <w:r w:rsidRPr="00972E94">
        <w:rPr>
          <w:b/>
          <w:lang w:val="lv-LV"/>
        </w:rPr>
        <w:t xml:space="preserve"> apmērs</w:t>
      </w:r>
      <w:r w:rsidRPr="00972E94">
        <w:rPr>
          <w:b/>
          <w:bCs/>
          <w:lang w:val="lv-LV"/>
        </w:rPr>
        <w:t>:</w:t>
      </w:r>
    </w:p>
    <w:p w:rsidR="006A2786" w:rsidRPr="00972E94" w:rsidRDefault="006A2786" w:rsidP="006A2786">
      <w:pPr>
        <w:ind w:right="372"/>
        <w:jc w:val="both"/>
        <w:rPr>
          <w:b/>
          <w:bCs/>
          <w:lang w:val="lv-LV"/>
        </w:rPr>
      </w:pPr>
    </w:p>
    <w:p w:rsidR="006A2786" w:rsidRDefault="006A2786" w:rsidP="006A2786">
      <w:pPr>
        <w:numPr>
          <w:ilvl w:val="0"/>
          <w:numId w:val="11"/>
        </w:numPr>
        <w:ind w:right="372"/>
        <w:jc w:val="both"/>
        <w:rPr>
          <w:lang w:val="lv-LV"/>
        </w:rPr>
      </w:pPr>
      <w:r w:rsidRPr="00972E94">
        <w:rPr>
          <w:b/>
          <w:bCs/>
          <w:lang w:val="lv-LV"/>
        </w:rPr>
        <w:t>fiziskai personai</w:t>
      </w:r>
      <w:r w:rsidRPr="00972E94">
        <w:rPr>
          <w:lang w:val="lv-LV"/>
        </w:rPr>
        <w:t xml:space="preserve"> atkarībā no iepriekšējā gada laikā saņemtās autoratlīdzības   lieluma.</w:t>
      </w:r>
    </w:p>
    <w:p w:rsidR="00B9337D" w:rsidRDefault="00B9337D" w:rsidP="00B9337D">
      <w:pPr>
        <w:ind w:left="720" w:right="372"/>
        <w:jc w:val="both"/>
        <w:rPr>
          <w:lang w:val="lv-LV"/>
        </w:rPr>
      </w:pPr>
    </w:p>
    <w:p w:rsidR="006A2786" w:rsidRPr="00972E94" w:rsidRDefault="006A2786" w:rsidP="006A2786">
      <w:pPr>
        <w:ind w:left="720" w:right="372"/>
        <w:jc w:val="both"/>
        <w:rPr>
          <w:lang w:val="lv-LV"/>
        </w:rPr>
      </w:pP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7"/>
        <w:gridCol w:w="4252"/>
      </w:tblGrid>
      <w:tr w:rsidR="00B9337D" w:rsidRPr="00375384" w:rsidTr="00B9337D">
        <w:tc>
          <w:tcPr>
            <w:tcW w:w="4537" w:type="dxa"/>
            <w:shd w:val="clear" w:color="auto" w:fill="auto"/>
          </w:tcPr>
          <w:p w:rsidR="00B9337D" w:rsidRPr="00375384" w:rsidRDefault="00B9337D" w:rsidP="00E26D6A">
            <w:pPr>
              <w:pStyle w:val="BodyTextIndent"/>
              <w:ind w:left="0" w:firstLine="0"/>
              <w:jc w:val="center"/>
              <w:rPr>
                <w:b/>
                <w:sz w:val="24"/>
              </w:rPr>
            </w:pPr>
            <w:r w:rsidRPr="00375384">
              <w:rPr>
                <w:b/>
                <w:color w:val="000000"/>
                <w:sz w:val="24"/>
                <w:lang w:eastAsia="lv-LV"/>
              </w:rPr>
              <w:t>Iepriekšējā gadā izmaksātā autoratlīdzība</w:t>
            </w:r>
            <w:r>
              <w:rPr>
                <w:b/>
                <w:color w:val="000000"/>
                <w:sz w:val="24"/>
                <w:lang w:eastAsia="lv-LV"/>
              </w:rPr>
              <w:t>, EUR</w:t>
            </w:r>
          </w:p>
        </w:tc>
        <w:tc>
          <w:tcPr>
            <w:tcW w:w="4252" w:type="dxa"/>
            <w:shd w:val="clear" w:color="auto" w:fill="auto"/>
          </w:tcPr>
          <w:p w:rsidR="00B9337D" w:rsidRPr="00375384" w:rsidRDefault="00B9337D" w:rsidP="00E26D6A">
            <w:pPr>
              <w:pStyle w:val="BodyTextIndent"/>
              <w:ind w:left="0" w:firstLine="0"/>
              <w:jc w:val="center"/>
              <w:rPr>
                <w:b/>
                <w:sz w:val="24"/>
              </w:rPr>
            </w:pPr>
            <w:r w:rsidRPr="00375384">
              <w:rPr>
                <w:b/>
                <w:sz w:val="24"/>
              </w:rPr>
              <w:t>Biedra maksas apmērs (gadā)</w:t>
            </w:r>
            <w:r>
              <w:rPr>
                <w:b/>
                <w:sz w:val="24"/>
              </w:rPr>
              <w:t>, EUR</w:t>
            </w:r>
          </w:p>
        </w:tc>
      </w:tr>
      <w:tr w:rsidR="00B9337D" w:rsidRPr="00375384" w:rsidTr="00B9337D">
        <w:tc>
          <w:tcPr>
            <w:tcW w:w="4537" w:type="dxa"/>
            <w:shd w:val="clear" w:color="auto" w:fill="auto"/>
            <w:vAlign w:val="bottom"/>
          </w:tcPr>
          <w:p w:rsidR="00B9337D" w:rsidRPr="00375384" w:rsidRDefault="00B9337D" w:rsidP="00E26D6A">
            <w:pPr>
              <w:jc w:val="center"/>
              <w:rPr>
                <w:i/>
                <w:color w:val="000000"/>
                <w:lang w:val="lv-LV" w:eastAsia="lv-LV"/>
              </w:rPr>
            </w:pPr>
            <w:r w:rsidRPr="00375384">
              <w:rPr>
                <w:i/>
                <w:color w:val="000000"/>
                <w:lang w:val="lv-LV" w:eastAsia="lv-LV"/>
              </w:rPr>
              <w:t>0.00 - 142.29</w:t>
            </w:r>
          </w:p>
        </w:tc>
        <w:tc>
          <w:tcPr>
            <w:tcW w:w="4252" w:type="dxa"/>
            <w:shd w:val="clear" w:color="auto" w:fill="auto"/>
            <w:vAlign w:val="bottom"/>
          </w:tcPr>
          <w:p w:rsidR="00B9337D" w:rsidRPr="00375384" w:rsidRDefault="00B9337D" w:rsidP="00E26D6A">
            <w:pPr>
              <w:jc w:val="center"/>
              <w:rPr>
                <w:i/>
                <w:color w:val="000000"/>
                <w:lang w:val="lv-LV" w:eastAsia="lv-LV"/>
              </w:rPr>
            </w:pPr>
            <w:r w:rsidRPr="00375384">
              <w:rPr>
                <w:i/>
                <w:color w:val="000000"/>
                <w:lang w:val="lv-LV" w:eastAsia="lv-LV"/>
              </w:rPr>
              <w:t>1.42</w:t>
            </w:r>
          </w:p>
        </w:tc>
      </w:tr>
      <w:tr w:rsidR="00B9337D" w:rsidRPr="00375384" w:rsidTr="00B9337D">
        <w:tc>
          <w:tcPr>
            <w:tcW w:w="4537" w:type="dxa"/>
            <w:shd w:val="clear" w:color="auto" w:fill="auto"/>
            <w:vAlign w:val="bottom"/>
          </w:tcPr>
          <w:p w:rsidR="00B9337D" w:rsidRPr="00375384" w:rsidRDefault="00B9337D" w:rsidP="00E26D6A">
            <w:pPr>
              <w:jc w:val="center"/>
              <w:rPr>
                <w:i/>
                <w:color w:val="000000"/>
                <w:lang w:val="lv-LV" w:eastAsia="lv-LV"/>
              </w:rPr>
            </w:pPr>
            <w:r w:rsidRPr="00375384">
              <w:rPr>
                <w:i/>
                <w:color w:val="000000"/>
                <w:lang w:val="lv-LV" w:eastAsia="lv-LV"/>
              </w:rPr>
              <w:t>142.30 - 711.44</w:t>
            </w:r>
          </w:p>
        </w:tc>
        <w:tc>
          <w:tcPr>
            <w:tcW w:w="4252" w:type="dxa"/>
            <w:shd w:val="clear" w:color="auto" w:fill="auto"/>
            <w:vAlign w:val="bottom"/>
          </w:tcPr>
          <w:p w:rsidR="00B9337D" w:rsidRPr="00375384" w:rsidRDefault="00B9337D" w:rsidP="00E26D6A">
            <w:pPr>
              <w:jc w:val="center"/>
              <w:rPr>
                <w:i/>
                <w:color w:val="000000"/>
                <w:lang w:val="lv-LV" w:eastAsia="lv-LV"/>
              </w:rPr>
            </w:pPr>
            <w:r w:rsidRPr="00375384">
              <w:rPr>
                <w:i/>
                <w:color w:val="000000"/>
                <w:lang w:val="lv-LV" w:eastAsia="lv-LV"/>
              </w:rPr>
              <w:t>2.85</w:t>
            </w:r>
          </w:p>
        </w:tc>
      </w:tr>
      <w:tr w:rsidR="00B9337D" w:rsidRPr="00375384" w:rsidTr="00B9337D">
        <w:tc>
          <w:tcPr>
            <w:tcW w:w="4537" w:type="dxa"/>
            <w:shd w:val="clear" w:color="auto" w:fill="auto"/>
            <w:vAlign w:val="bottom"/>
          </w:tcPr>
          <w:p w:rsidR="00B9337D" w:rsidRPr="00375384" w:rsidRDefault="00B9337D" w:rsidP="00E26D6A">
            <w:pPr>
              <w:jc w:val="center"/>
              <w:rPr>
                <w:i/>
                <w:color w:val="000000"/>
                <w:lang w:val="lv-LV" w:eastAsia="lv-LV"/>
              </w:rPr>
            </w:pPr>
            <w:r w:rsidRPr="00375384">
              <w:rPr>
                <w:i/>
                <w:color w:val="000000"/>
                <w:lang w:val="lv-LV" w:eastAsia="lv-LV"/>
              </w:rPr>
              <w:t>711.45 – 1 422.87</w:t>
            </w:r>
          </w:p>
        </w:tc>
        <w:tc>
          <w:tcPr>
            <w:tcW w:w="4252" w:type="dxa"/>
            <w:shd w:val="clear" w:color="auto" w:fill="auto"/>
            <w:vAlign w:val="bottom"/>
          </w:tcPr>
          <w:p w:rsidR="00B9337D" w:rsidRPr="00375384" w:rsidRDefault="00B9337D" w:rsidP="00E26D6A">
            <w:pPr>
              <w:jc w:val="center"/>
              <w:rPr>
                <w:i/>
                <w:color w:val="000000"/>
                <w:lang w:val="lv-LV" w:eastAsia="lv-LV"/>
              </w:rPr>
            </w:pPr>
            <w:r w:rsidRPr="00375384">
              <w:rPr>
                <w:i/>
                <w:color w:val="000000"/>
                <w:lang w:val="lv-LV" w:eastAsia="lv-LV"/>
              </w:rPr>
              <w:t>4.27</w:t>
            </w:r>
          </w:p>
        </w:tc>
      </w:tr>
      <w:tr w:rsidR="00B9337D" w:rsidRPr="00375384" w:rsidTr="00B9337D">
        <w:tc>
          <w:tcPr>
            <w:tcW w:w="4537" w:type="dxa"/>
            <w:shd w:val="clear" w:color="auto" w:fill="auto"/>
            <w:vAlign w:val="bottom"/>
          </w:tcPr>
          <w:p w:rsidR="00B9337D" w:rsidRPr="00375384" w:rsidRDefault="00B9337D" w:rsidP="00E26D6A">
            <w:pPr>
              <w:jc w:val="center"/>
              <w:rPr>
                <w:i/>
                <w:color w:val="000000"/>
                <w:lang w:val="lv-LV" w:eastAsia="lv-LV"/>
              </w:rPr>
            </w:pPr>
            <w:r w:rsidRPr="00375384">
              <w:rPr>
                <w:i/>
                <w:color w:val="000000"/>
                <w:lang w:val="lv-LV" w:eastAsia="lv-LV"/>
              </w:rPr>
              <w:t>1 422.88 – 14 228.72</w:t>
            </w:r>
          </w:p>
        </w:tc>
        <w:tc>
          <w:tcPr>
            <w:tcW w:w="4252" w:type="dxa"/>
            <w:shd w:val="clear" w:color="auto" w:fill="auto"/>
            <w:vAlign w:val="bottom"/>
          </w:tcPr>
          <w:p w:rsidR="00B9337D" w:rsidRPr="00375384" w:rsidRDefault="00B9337D" w:rsidP="00E26D6A">
            <w:pPr>
              <w:jc w:val="center"/>
              <w:rPr>
                <w:i/>
                <w:color w:val="000000"/>
                <w:lang w:val="lv-LV" w:eastAsia="lv-LV"/>
              </w:rPr>
            </w:pPr>
            <w:r w:rsidRPr="00375384">
              <w:rPr>
                <w:i/>
                <w:color w:val="000000"/>
                <w:lang w:val="lv-LV" w:eastAsia="lv-LV"/>
              </w:rPr>
              <w:t>7.11</w:t>
            </w:r>
          </w:p>
        </w:tc>
      </w:tr>
      <w:tr w:rsidR="00B9337D" w:rsidRPr="00375384" w:rsidTr="00B9337D">
        <w:tc>
          <w:tcPr>
            <w:tcW w:w="4537" w:type="dxa"/>
            <w:shd w:val="clear" w:color="auto" w:fill="auto"/>
            <w:vAlign w:val="bottom"/>
          </w:tcPr>
          <w:p w:rsidR="00B9337D" w:rsidRPr="00375384" w:rsidRDefault="00B9337D" w:rsidP="00E26D6A">
            <w:pPr>
              <w:jc w:val="center"/>
              <w:rPr>
                <w:i/>
                <w:color w:val="000000"/>
                <w:lang w:val="lv-LV" w:eastAsia="lv-LV"/>
              </w:rPr>
            </w:pPr>
            <w:r w:rsidRPr="00375384">
              <w:rPr>
                <w:i/>
                <w:color w:val="000000"/>
                <w:lang w:val="lv-LV" w:eastAsia="lv-LV"/>
              </w:rPr>
              <w:t>14 228.73 – 28 457.44</w:t>
            </w:r>
          </w:p>
        </w:tc>
        <w:tc>
          <w:tcPr>
            <w:tcW w:w="4252" w:type="dxa"/>
            <w:shd w:val="clear" w:color="auto" w:fill="auto"/>
            <w:vAlign w:val="bottom"/>
          </w:tcPr>
          <w:p w:rsidR="00B9337D" w:rsidRPr="00375384" w:rsidRDefault="00B9337D" w:rsidP="00E26D6A">
            <w:pPr>
              <w:jc w:val="center"/>
              <w:rPr>
                <w:i/>
                <w:color w:val="000000"/>
                <w:lang w:val="lv-LV" w:eastAsia="lv-LV"/>
              </w:rPr>
            </w:pPr>
            <w:r w:rsidRPr="00375384">
              <w:rPr>
                <w:i/>
                <w:color w:val="000000"/>
                <w:lang w:val="lv-LV" w:eastAsia="lv-LV"/>
              </w:rPr>
              <w:t>14.23</w:t>
            </w:r>
          </w:p>
        </w:tc>
      </w:tr>
      <w:tr w:rsidR="00B9337D" w:rsidRPr="00375384" w:rsidTr="00B9337D">
        <w:tc>
          <w:tcPr>
            <w:tcW w:w="4537" w:type="dxa"/>
            <w:shd w:val="clear" w:color="auto" w:fill="auto"/>
            <w:vAlign w:val="bottom"/>
          </w:tcPr>
          <w:p w:rsidR="00B9337D" w:rsidRPr="00375384" w:rsidRDefault="00B9337D" w:rsidP="00E26D6A">
            <w:pPr>
              <w:jc w:val="center"/>
              <w:rPr>
                <w:i/>
                <w:color w:val="000000"/>
                <w:lang w:val="lv-LV" w:eastAsia="lv-LV"/>
              </w:rPr>
            </w:pPr>
            <w:r w:rsidRPr="00375384">
              <w:rPr>
                <w:i/>
                <w:color w:val="000000"/>
                <w:lang w:val="lv-LV" w:eastAsia="lv-LV"/>
              </w:rPr>
              <w:t>28 457.45 – 42 686.15</w:t>
            </w:r>
          </w:p>
        </w:tc>
        <w:tc>
          <w:tcPr>
            <w:tcW w:w="4252" w:type="dxa"/>
            <w:shd w:val="clear" w:color="auto" w:fill="auto"/>
            <w:vAlign w:val="bottom"/>
          </w:tcPr>
          <w:p w:rsidR="00B9337D" w:rsidRPr="00375384" w:rsidRDefault="00B9337D" w:rsidP="00E26D6A">
            <w:pPr>
              <w:jc w:val="center"/>
              <w:rPr>
                <w:i/>
                <w:color w:val="000000"/>
                <w:lang w:val="lv-LV" w:eastAsia="lv-LV"/>
              </w:rPr>
            </w:pPr>
            <w:r w:rsidRPr="00375384">
              <w:rPr>
                <w:i/>
                <w:color w:val="000000"/>
                <w:lang w:val="lv-LV" w:eastAsia="lv-LV"/>
              </w:rPr>
              <w:t>28.46</w:t>
            </w:r>
          </w:p>
        </w:tc>
      </w:tr>
      <w:tr w:rsidR="00B9337D" w:rsidRPr="00375384" w:rsidTr="00B9337D">
        <w:tc>
          <w:tcPr>
            <w:tcW w:w="4537" w:type="dxa"/>
            <w:shd w:val="clear" w:color="auto" w:fill="auto"/>
            <w:vAlign w:val="bottom"/>
          </w:tcPr>
          <w:p w:rsidR="00B9337D" w:rsidRPr="00375384" w:rsidRDefault="00B9337D" w:rsidP="00E26D6A">
            <w:pPr>
              <w:jc w:val="center"/>
              <w:rPr>
                <w:i/>
                <w:color w:val="000000"/>
                <w:lang w:val="lv-LV" w:eastAsia="lv-LV"/>
              </w:rPr>
            </w:pPr>
            <w:r w:rsidRPr="00375384">
              <w:rPr>
                <w:i/>
                <w:color w:val="000000"/>
                <w:lang w:val="lv-LV" w:eastAsia="lv-LV"/>
              </w:rPr>
              <w:t>42 686.16 – 56 914.87</w:t>
            </w:r>
          </w:p>
        </w:tc>
        <w:tc>
          <w:tcPr>
            <w:tcW w:w="4252" w:type="dxa"/>
            <w:shd w:val="clear" w:color="auto" w:fill="auto"/>
            <w:vAlign w:val="bottom"/>
          </w:tcPr>
          <w:p w:rsidR="00B9337D" w:rsidRPr="00375384" w:rsidRDefault="00B9337D" w:rsidP="00E26D6A">
            <w:pPr>
              <w:jc w:val="center"/>
              <w:rPr>
                <w:i/>
                <w:color w:val="000000"/>
                <w:lang w:val="lv-LV" w:eastAsia="lv-LV"/>
              </w:rPr>
            </w:pPr>
            <w:r w:rsidRPr="00375384">
              <w:rPr>
                <w:i/>
                <w:color w:val="000000"/>
                <w:lang w:val="lv-LV" w:eastAsia="lv-LV"/>
              </w:rPr>
              <w:t>42.69</w:t>
            </w:r>
          </w:p>
        </w:tc>
      </w:tr>
      <w:tr w:rsidR="00B9337D" w:rsidRPr="00375384" w:rsidTr="00B9337D">
        <w:tc>
          <w:tcPr>
            <w:tcW w:w="4537" w:type="dxa"/>
            <w:shd w:val="clear" w:color="auto" w:fill="auto"/>
            <w:vAlign w:val="bottom"/>
          </w:tcPr>
          <w:p w:rsidR="00B9337D" w:rsidRPr="00375384" w:rsidRDefault="00B9337D" w:rsidP="00E26D6A">
            <w:pPr>
              <w:jc w:val="center"/>
              <w:rPr>
                <w:i/>
                <w:color w:val="000000"/>
                <w:lang w:val="lv-LV" w:eastAsia="lv-LV"/>
              </w:rPr>
            </w:pPr>
            <w:r w:rsidRPr="00375384">
              <w:rPr>
                <w:i/>
                <w:color w:val="000000"/>
                <w:lang w:val="lv-LV" w:eastAsia="lv-LV"/>
              </w:rPr>
              <w:t>56 914.88 – 71 143.59</w:t>
            </w:r>
          </w:p>
        </w:tc>
        <w:tc>
          <w:tcPr>
            <w:tcW w:w="4252" w:type="dxa"/>
            <w:shd w:val="clear" w:color="auto" w:fill="auto"/>
            <w:vAlign w:val="bottom"/>
          </w:tcPr>
          <w:p w:rsidR="00B9337D" w:rsidRPr="00375384" w:rsidRDefault="00B9337D" w:rsidP="00E26D6A">
            <w:pPr>
              <w:jc w:val="center"/>
              <w:rPr>
                <w:i/>
                <w:color w:val="000000"/>
                <w:lang w:val="lv-LV" w:eastAsia="lv-LV"/>
              </w:rPr>
            </w:pPr>
            <w:r w:rsidRPr="00375384">
              <w:rPr>
                <w:i/>
                <w:color w:val="000000"/>
                <w:lang w:val="lv-LV" w:eastAsia="lv-LV"/>
              </w:rPr>
              <w:t>56.91</w:t>
            </w:r>
          </w:p>
        </w:tc>
      </w:tr>
      <w:tr w:rsidR="00B9337D" w:rsidRPr="00375384" w:rsidTr="00B9337D">
        <w:tc>
          <w:tcPr>
            <w:tcW w:w="4537" w:type="dxa"/>
            <w:shd w:val="clear" w:color="auto" w:fill="auto"/>
            <w:vAlign w:val="bottom"/>
          </w:tcPr>
          <w:p w:rsidR="00B9337D" w:rsidRPr="00375384" w:rsidRDefault="00B9337D" w:rsidP="00E26D6A">
            <w:pPr>
              <w:jc w:val="center"/>
              <w:rPr>
                <w:i/>
                <w:color w:val="000000"/>
                <w:lang w:val="lv-LV" w:eastAsia="lv-LV"/>
              </w:rPr>
            </w:pPr>
            <w:r w:rsidRPr="00375384">
              <w:rPr>
                <w:i/>
                <w:color w:val="000000"/>
                <w:lang w:val="lv-LV" w:eastAsia="lv-LV"/>
              </w:rPr>
              <w:t>71 143.60 – 85 372.31</w:t>
            </w:r>
          </w:p>
        </w:tc>
        <w:tc>
          <w:tcPr>
            <w:tcW w:w="4252" w:type="dxa"/>
            <w:shd w:val="clear" w:color="auto" w:fill="auto"/>
            <w:vAlign w:val="bottom"/>
          </w:tcPr>
          <w:p w:rsidR="00B9337D" w:rsidRPr="00375384" w:rsidRDefault="00B9337D" w:rsidP="00E26D6A">
            <w:pPr>
              <w:jc w:val="center"/>
              <w:rPr>
                <w:i/>
                <w:color w:val="000000"/>
                <w:lang w:val="lv-LV" w:eastAsia="lv-LV"/>
              </w:rPr>
            </w:pPr>
            <w:r w:rsidRPr="00375384">
              <w:rPr>
                <w:i/>
                <w:color w:val="000000"/>
                <w:lang w:val="lv-LV" w:eastAsia="lv-LV"/>
              </w:rPr>
              <w:t>71.14</w:t>
            </w:r>
          </w:p>
        </w:tc>
      </w:tr>
      <w:tr w:rsidR="00B9337D" w:rsidRPr="00375384" w:rsidTr="00B9337D">
        <w:tc>
          <w:tcPr>
            <w:tcW w:w="4537" w:type="dxa"/>
            <w:shd w:val="clear" w:color="auto" w:fill="auto"/>
            <w:vAlign w:val="bottom"/>
          </w:tcPr>
          <w:p w:rsidR="00B9337D" w:rsidRPr="00375384" w:rsidRDefault="00B9337D" w:rsidP="00E26D6A">
            <w:pPr>
              <w:jc w:val="center"/>
              <w:rPr>
                <w:i/>
                <w:color w:val="000000"/>
                <w:lang w:val="lv-LV" w:eastAsia="lv-LV"/>
              </w:rPr>
            </w:pPr>
            <w:r w:rsidRPr="00375384">
              <w:rPr>
                <w:i/>
                <w:color w:val="000000"/>
                <w:lang w:val="lv-LV" w:eastAsia="lv-LV"/>
              </w:rPr>
              <w:t>85 372.32 – 99 601.03</w:t>
            </w:r>
          </w:p>
        </w:tc>
        <w:tc>
          <w:tcPr>
            <w:tcW w:w="4252" w:type="dxa"/>
            <w:shd w:val="clear" w:color="auto" w:fill="auto"/>
            <w:vAlign w:val="bottom"/>
          </w:tcPr>
          <w:p w:rsidR="00B9337D" w:rsidRPr="00375384" w:rsidRDefault="00B9337D" w:rsidP="00E26D6A">
            <w:pPr>
              <w:jc w:val="center"/>
              <w:rPr>
                <w:i/>
                <w:color w:val="000000"/>
                <w:lang w:val="lv-LV" w:eastAsia="lv-LV"/>
              </w:rPr>
            </w:pPr>
            <w:r w:rsidRPr="00375384">
              <w:rPr>
                <w:i/>
                <w:color w:val="000000"/>
                <w:lang w:val="lv-LV" w:eastAsia="lv-LV"/>
              </w:rPr>
              <w:t>85.37</w:t>
            </w:r>
          </w:p>
        </w:tc>
      </w:tr>
      <w:tr w:rsidR="00B9337D" w:rsidRPr="00375384" w:rsidTr="00B9337D">
        <w:tc>
          <w:tcPr>
            <w:tcW w:w="4537" w:type="dxa"/>
            <w:shd w:val="clear" w:color="auto" w:fill="auto"/>
            <w:vAlign w:val="bottom"/>
          </w:tcPr>
          <w:p w:rsidR="00B9337D" w:rsidRPr="00375384" w:rsidRDefault="00B9337D" w:rsidP="00E26D6A">
            <w:pPr>
              <w:jc w:val="center"/>
              <w:rPr>
                <w:i/>
                <w:color w:val="000000"/>
                <w:lang w:val="lv-LV" w:eastAsia="lv-LV"/>
              </w:rPr>
            </w:pPr>
            <w:r w:rsidRPr="00375384">
              <w:rPr>
                <w:i/>
                <w:color w:val="000000"/>
                <w:lang w:val="lv-LV" w:eastAsia="lv-LV"/>
              </w:rPr>
              <w:t>99 601.04 un vairāk</w:t>
            </w:r>
          </w:p>
        </w:tc>
        <w:tc>
          <w:tcPr>
            <w:tcW w:w="4252" w:type="dxa"/>
            <w:shd w:val="clear" w:color="auto" w:fill="auto"/>
          </w:tcPr>
          <w:p w:rsidR="00B9337D" w:rsidRPr="00375384" w:rsidRDefault="00B9337D" w:rsidP="00E26D6A">
            <w:pPr>
              <w:pStyle w:val="BodyTextIndent"/>
              <w:ind w:left="0" w:firstLine="0"/>
              <w:jc w:val="center"/>
              <w:rPr>
                <w:i/>
                <w:color w:val="000000"/>
                <w:sz w:val="24"/>
                <w:lang w:eastAsia="lv-LV"/>
              </w:rPr>
            </w:pPr>
            <w:r w:rsidRPr="00375384">
              <w:rPr>
                <w:i/>
                <w:color w:val="000000"/>
                <w:sz w:val="24"/>
                <w:lang w:eastAsia="lv-LV"/>
              </w:rPr>
              <w:t>99.60</w:t>
            </w:r>
          </w:p>
        </w:tc>
      </w:tr>
    </w:tbl>
    <w:p w:rsidR="006A2786" w:rsidRDefault="006A2786" w:rsidP="006A2786">
      <w:pPr>
        <w:pStyle w:val="BodyTextIndent"/>
        <w:spacing w:line="360" w:lineRule="auto"/>
        <w:ind w:left="926" w:firstLine="0"/>
      </w:pPr>
    </w:p>
    <w:p w:rsidR="006A2786" w:rsidRDefault="00B9337D" w:rsidP="006A2786">
      <w:pPr>
        <w:pStyle w:val="BodyTextIndent"/>
        <w:spacing w:line="360" w:lineRule="auto"/>
        <w:ind w:left="926" w:firstLine="0"/>
      </w:pPr>
      <w:r>
        <w:br w:type="page"/>
      </w:r>
    </w:p>
    <w:p w:rsidR="006A2786" w:rsidRPr="005F05DB" w:rsidRDefault="006A2786" w:rsidP="006A2786">
      <w:pPr>
        <w:ind w:right="372"/>
        <w:jc w:val="both"/>
        <w:rPr>
          <w:lang w:val="lv-LV"/>
        </w:rPr>
      </w:pPr>
      <w:r w:rsidRPr="005F05DB">
        <w:rPr>
          <w:b/>
          <w:bCs/>
          <w:lang w:val="lv-LV"/>
        </w:rPr>
        <w:t>2) juridiskai personai</w:t>
      </w:r>
      <w:r w:rsidRPr="005F05DB">
        <w:rPr>
          <w:lang w:val="lv-LV"/>
        </w:rPr>
        <w:t xml:space="preserve"> atkarībā no iepriekšējā gada laikā saņemtās autoratlīdzības   lieluma: </w:t>
      </w:r>
    </w:p>
    <w:p w:rsidR="006A2786" w:rsidRDefault="006A2786" w:rsidP="006A2786">
      <w:pPr>
        <w:pStyle w:val="BodyTextIndent"/>
        <w:spacing w:line="360" w:lineRule="auto"/>
        <w:ind w:left="926" w:firstLine="0"/>
      </w:pPr>
    </w:p>
    <w:tbl>
      <w:tblPr>
        <w:tblW w:w="878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7"/>
        <w:gridCol w:w="4252"/>
      </w:tblGrid>
      <w:tr w:rsidR="00B9337D" w:rsidRPr="00375384" w:rsidTr="00B9337D">
        <w:tc>
          <w:tcPr>
            <w:tcW w:w="4537" w:type="dxa"/>
            <w:shd w:val="clear" w:color="auto" w:fill="auto"/>
          </w:tcPr>
          <w:p w:rsidR="00B9337D" w:rsidRPr="00375384" w:rsidRDefault="00B9337D" w:rsidP="00B9337D">
            <w:pPr>
              <w:pStyle w:val="BodyTextIndent"/>
              <w:ind w:left="0" w:firstLine="0"/>
              <w:jc w:val="center"/>
              <w:rPr>
                <w:b/>
                <w:sz w:val="24"/>
              </w:rPr>
            </w:pPr>
            <w:r w:rsidRPr="00375384">
              <w:rPr>
                <w:b/>
                <w:color w:val="000000"/>
                <w:sz w:val="24"/>
                <w:lang w:eastAsia="lv-LV"/>
              </w:rPr>
              <w:t>Iepriekšējā gadā izmaksātā autoratlīdzība</w:t>
            </w:r>
            <w:r>
              <w:rPr>
                <w:b/>
                <w:color w:val="000000"/>
                <w:sz w:val="24"/>
                <w:lang w:eastAsia="lv-LV"/>
              </w:rPr>
              <w:t>, EUR</w:t>
            </w:r>
          </w:p>
        </w:tc>
        <w:tc>
          <w:tcPr>
            <w:tcW w:w="4252" w:type="dxa"/>
            <w:shd w:val="clear" w:color="auto" w:fill="auto"/>
          </w:tcPr>
          <w:p w:rsidR="00B9337D" w:rsidRPr="00375384" w:rsidRDefault="00B9337D" w:rsidP="00B9337D">
            <w:pPr>
              <w:pStyle w:val="BodyTextIndent"/>
              <w:ind w:left="0" w:firstLine="0"/>
              <w:jc w:val="center"/>
              <w:rPr>
                <w:b/>
                <w:sz w:val="24"/>
              </w:rPr>
            </w:pPr>
            <w:r w:rsidRPr="00375384">
              <w:rPr>
                <w:b/>
                <w:sz w:val="24"/>
              </w:rPr>
              <w:t>Biedra maksas apmērs (gadā)</w:t>
            </w:r>
            <w:r>
              <w:rPr>
                <w:b/>
                <w:sz w:val="24"/>
              </w:rPr>
              <w:t>, EUR</w:t>
            </w:r>
          </w:p>
        </w:tc>
      </w:tr>
      <w:tr w:rsidR="00B9337D" w:rsidRPr="00375384" w:rsidTr="00B9337D">
        <w:tc>
          <w:tcPr>
            <w:tcW w:w="4537" w:type="dxa"/>
            <w:shd w:val="clear" w:color="auto" w:fill="auto"/>
            <w:vAlign w:val="bottom"/>
          </w:tcPr>
          <w:p w:rsidR="00B9337D" w:rsidRPr="00375384" w:rsidRDefault="00B9337D" w:rsidP="00B9337D">
            <w:pPr>
              <w:jc w:val="center"/>
              <w:rPr>
                <w:i/>
                <w:color w:val="000000"/>
                <w:lang w:val="lv-LV" w:eastAsia="lv-LV"/>
              </w:rPr>
            </w:pPr>
            <w:r w:rsidRPr="00375384">
              <w:rPr>
                <w:i/>
                <w:color w:val="000000"/>
                <w:lang w:val="lv-LV" w:eastAsia="lv-LV"/>
              </w:rPr>
              <w:t>0.00 – 14 228.72</w:t>
            </w:r>
          </w:p>
        </w:tc>
        <w:tc>
          <w:tcPr>
            <w:tcW w:w="4252" w:type="dxa"/>
            <w:shd w:val="clear" w:color="auto" w:fill="auto"/>
            <w:vAlign w:val="bottom"/>
          </w:tcPr>
          <w:p w:rsidR="00B9337D" w:rsidRPr="00375384" w:rsidRDefault="00B9337D" w:rsidP="00B9337D">
            <w:pPr>
              <w:jc w:val="center"/>
              <w:rPr>
                <w:i/>
                <w:color w:val="000000"/>
                <w:lang w:val="lv-LV" w:eastAsia="lv-LV"/>
              </w:rPr>
            </w:pPr>
            <w:r w:rsidRPr="00375384">
              <w:rPr>
                <w:i/>
                <w:color w:val="000000"/>
                <w:lang w:val="lv-LV" w:eastAsia="lv-LV"/>
              </w:rPr>
              <w:t>71.14</w:t>
            </w:r>
          </w:p>
        </w:tc>
      </w:tr>
      <w:tr w:rsidR="00B9337D" w:rsidRPr="00375384" w:rsidTr="00B9337D">
        <w:tc>
          <w:tcPr>
            <w:tcW w:w="4537" w:type="dxa"/>
            <w:shd w:val="clear" w:color="auto" w:fill="auto"/>
            <w:vAlign w:val="bottom"/>
          </w:tcPr>
          <w:p w:rsidR="00B9337D" w:rsidRPr="00375384" w:rsidRDefault="00B9337D" w:rsidP="00B9337D">
            <w:pPr>
              <w:jc w:val="center"/>
              <w:rPr>
                <w:i/>
                <w:color w:val="000000"/>
                <w:lang w:val="lv-LV" w:eastAsia="lv-LV"/>
              </w:rPr>
            </w:pPr>
            <w:r w:rsidRPr="00375384">
              <w:rPr>
                <w:i/>
                <w:color w:val="000000"/>
                <w:lang w:val="lv-LV" w:eastAsia="lv-LV"/>
              </w:rPr>
              <w:t>14 228.73 – 28 457.44</w:t>
            </w:r>
          </w:p>
        </w:tc>
        <w:tc>
          <w:tcPr>
            <w:tcW w:w="4252" w:type="dxa"/>
            <w:shd w:val="clear" w:color="auto" w:fill="auto"/>
            <w:vAlign w:val="bottom"/>
          </w:tcPr>
          <w:p w:rsidR="00B9337D" w:rsidRPr="00375384" w:rsidRDefault="00B9337D" w:rsidP="00B9337D">
            <w:pPr>
              <w:jc w:val="center"/>
              <w:rPr>
                <w:i/>
                <w:color w:val="000000"/>
                <w:lang w:val="lv-LV" w:eastAsia="lv-LV"/>
              </w:rPr>
            </w:pPr>
            <w:r w:rsidRPr="00375384">
              <w:rPr>
                <w:i/>
                <w:color w:val="000000"/>
                <w:lang w:val="lv-LV" w:eastAsia="lv-LV"/>
              </w:rPr>
              <w:t>142.29</w:t>
            </w:r>
          </w:p>
        </w:tc>
      </w:tr>
      <w:tr w:rsidR="00B9337D" w:rsidRPr="00375384" w:rsidTr="00B9337D">
        <w:tc>
          <w:tcPr>
            <w:tcW w:w="4537" w:type="dxa"/>
            <w:shd w:val="clear" w:color="auto" w:fill="auto"/>
            <w:vAlign w:val="bottom"/>
          </w:tcPr>
          <w:p w:rsidR="00B9337D" w:rsidRPr="00375384" w:rsidRDefault="00B9337D" w:rsidP="00B9337D">
            <w:pPr>
              <w:jc w:val="center"/>
              <w:rPr>
                <w:i/>
                <w:color w:val="000000"/>
                <w:lang w:val="lv-LV" w:eastAsia="lv-LV"/>
              </w:rPr>
            </w:pPr>
            <w:r w:rsidRPr="00375384">
              <w:rPr>
                <w:i/>
                <w:color w:val="000000"/>
                <w:lang w:val="lv-LV" w:eastAsia="lv-LV"/>
              </w:rPr>
              <w:t>28 457.45 – 42 686.15</w:t>
            </w:r>
          </w:p>
        </w:tc>
        <w:tc>
          <w:tcPr>
            <w:tcW w:w="4252" w:type="dxa"/>
            <w:shd w:val="clear" w:color="auto" w:fill="auto"/>
            <w:vAlign w:val="bottom"/>
          </w:tcPr>
          <w:p w:rsidR="00B9337D" w:rsidRPr="00375384" w:rsidRDefault="00B9337D" w:rsidP="00B9337D">
            <w:pPr>
              <w:jc w:val="center"/>
              <w:rPr>
                <w:i/>
                <w:color w:val="000000"/>
                <w:lang w:val="lv-LV" w:eastAsia="lv-LV"/>
              </w:rPr>
            </w:pPr>
            <w:r w:rsidRPr="00375384">
              <w:rPr>
                <w:i/>
                <w:color w:val="000000"/>
                <w:lang w:val="lv-LV" w:eastAsia="lv-LV"/>
              </w:rPr>
              <w:t>213.43</w:t>
            </w:r>
          </w:p>
        </w:tc>
      </w:tr>
      <w:tr w:rsidR="00B9337D" w:rsidRPr="00375384" w:rsidTr="00B9337D">
        <w:tc>
          <w:tcPr>
            <w:tcW w:w="4537" w:type="dxa"/>
            <w:shd w:val="clear" w:color="auto" w:fill="auto"/>
            <w:vAlign w:val="bottom"/>
          </w:tcPr>
          <w:p w:rsidR="00B9337D" w:rsidRPr="00375384" w:rsidRDefault="00B9337D" w:rsidP="00B9337D">
            <w:pPr>
              <w:jc w:val="center"/>
              <w:rPr>
                <w:i/>
                <w:color w:val="000000"/>
                <w:lang w:val="lv-LV" w:eastAsia="lv-LV"/>
              </w:rPr>
            </w:pPr>
            <w:r w:rsidRPr="00375384">
              <w:rPr>
                <w:i/>
                <w:color w:val="000000"/>
                <w:lang w:val="lv-LV" w:eastAsia="lv-LV"/>
              </w:rPr>
              <w:t>42 686.16 – 56 914.87</w:t>
            </w:r>
          </w:p>
        </w:tc>
        <w:tc>
          <w:tcPr>
            <w:tcW w:w="4252" w:type="dxa"/>
            <w:shd w:val="clear" w:color="auto" w:fill="auto"/>
            <w:vAlign w:val="bottom"/>
          </w:tcPr>
          <w:p w:rsidR="00B9337D" w:rsidRPr="00375384" w:rsidRDefault="00B9337D" w:rsidP="00B9337D">
            <w:pPr>
              <w:jc w:val="center"/>
              <w:rPr>
                <w:i/>
                <w:color w:val="000000"/>
                <w:lang w:val="lv-LV" w:eastAsia="lv-LV"/>
              </w:rPr>
            </w:pPr>
            <w:r w:rsidRPr="00375384">
              <w:rPr>
                <w:i/>
                <w:color w:val="000000"/>
                <w:lang w:val="lv-LV" w:eastAsia="lv-LV"/>
              </w:rPr>
              <w:t>284.57</w:t>
            </w:r>
          </w:p>
        </w:tc>
      </w:tr>
      <w:tr w:rsidR="00B9337D" w:rsidRPr="00375384" w:rsidTr="00B9337D">
        <w:tc>
          <w:tcPr>
            <w:tcW w:w="4537" w:type="dxa"/>
            <w:shd w:val="clear" w:color="auto" w:fill="auto"/>
            <w:vAlign w:val="bottom"/>
          </w:tcPr>
          <w:p w:rsidR="00B9337D" w:rsidRPr="00375384" w:rsidRDefault="00B9337D" w:rsidP="00B9337D">
            <w:pPr>
              <w:jc w:val="center"/>
              <w:rPr>
                <w:i/>
                <w:color w:val="000000"/>
                <w:lang w:val="lv-LV" w:eastAsia="lv-LV"/>
              </w:rPr>
            </w:pPr>
            <w:r w:rsidRPr="00375384">
              <w:rPr>
                <w:i/>
                <w:color w:val="000000"/>
                <w:lang w:val="lv-LV" w:eastAsia="lv-LV"/>
              </w:rPr>
              <w:t>56 914.88 – 71 143.59</w:t>
            </w:r>
          </w:p>
        </w:tc>
        <w:tc>
          <w:tcPr>
            <w:tcW w:w="4252" w:type="dxa"/>
            <w:shd w:val="clear" w:color="auto" w:fill="auto"/>
            <w:vAlign w:val="bottom"/>
          </w:tcPr>
          <w:p w:rsidR="00B9337D" w:rsidRPr="00375384" w:rsidRDefault="00B9337D" w:rsidP="00B9337D">
            <w:pPr>
              <w:jc w:val="center"/>
              <w:rPr>
                <w:i/>
                <w:color w:val="000000"/>
                <w:lang w:val="lv-LV" w:eastAsia="lv-LV"/>
              </w:rPr>
            </w:pPr>
            <w:r w:rsidRPr="00375384">
              <w:rPr>
                <w:i/>
                <w:color w:val="000000"/>
                <w:lang w:val="lv-LV" w:eastAsia="lv-LV"/>
              </w:rPr>
              <w:t>355.72</w:t>
            </w:r>
          </w:p>
        </w:tc>
      </w:tr>
      <w:tr w:rsidR="00B9337D" w:rsidRPr="00375384" w:rsidTr="00B9337D">
        <w:tc>
          <w:tcPr>
            <w:tcW w:w="4537" w:type="dxa"/>
            <w:shd w:val="clear" w:color="auto" w:fill="auto"/>
            <w:vAlign w:val="bottom"/>
          </w:tcPr>
          <w:p w:rsidR="00B9337D" w:rsidRPr="00375384" w:rsidRDefault="00B9337D" w:rsidP="00B9337D">
            <w:pPr>
              <w:jc w:val="center"/>
              <w:rPr>
                <w:i/>
                <w:color w:val="000000"/>
                <w:lang w:val="lv-LV" w:eastAsia="lv-LV"/>
              </w:rPr>
            </w:pPr>
            <w:r w:rsidRPr="00375384">
              <w:rPr>
                <w:i/>
                <w:color w:val="000000"/>
                <w:lang w:val="lv-LV" w:eastAsia="lv-LV"/>
              </w:rPr>
              <w:t>71 143.60 – 85 372.31</w:t>
            </w:r>
          </w:p>
        </w:tc>
        <w:tc>
          <w:tcPr>
            <w:tcW w:w="4252" w:type="dxa"/>
            <w:shd w:val="clear" w:color="auto" w:fill="auto"/>
            <w:vAlign w:val="bottom"/>
          </w:tcPr>
          <w:p w:rsidR="00B9337D" w:rsidRPr="00375384" w:rsidRDefault="00B9337D" w:rsidP="00B9337D">
            <w:pPr>
              <w:jc w:val="center"/>
              <w:rPr>
                <w:i/>
                <w:color w:val="000000"/>
                <w:lang w:val="lv-LV" w:eastAsia="lv-LV"/>
              </w:rPr>
            </w:pPr>
            <w:r w:rsidRPr="00375384">
              <w:rPr>
                <w:i/>
                <w:color w:val="000000"/>
                <w:lang w:val="lv-LV" w:eastAsia="lv-LV"/>
              </w:rPr>
              <w:t>426.86</w:t>
            </w:r>
          </w:p>
        </w:tc>
      </w:tr>
      <w:tr w:rsidR="00B9337D" w:rsidRPr="00375384" w:rsidTr="00B9337D">
        <w:tc>
          <w:tcPr>
            <w:tcW w:w="4537" w:type="dxa"/>
            <w:shd w:val="clear" w:color="auto" w:fill="auto"/>
            <w:vAlign w:val="bottom"/>
          </w:tcPr>
          <w:p w:rsidR="00B9337D" w:rsidRPr="00375384" w:rsidRDefault="00B9337D" w:rsidP="00B9337D">
            <w:pPr>
              <w:jc w:val="center"/>
              <w:rPr>
                <w:i/>
                <w:color w:val="000000"/>
                <w:lang w:val="lv-LV" w:eastAsia="lv-LV"/>
              </w:rPr>
            </w:pPr>
            <w:r w:rsidRPr="00375384">
              <w:rPr>
                <w:i/>
                <w:color w:val="000000"/>
                <w:lang w:val="lv-LV" w:eastAsia="lv-LV"/>
              </w:rPr>
              <w:t>85 372.32 un vairāk</w:t>
            </w:r>
          </w:p>
        </w:tc>
        <w:tc>
          <w:tcPr>
            <w:tcW w:w="4252" w:type="dxa"/>
            <w:shd w:val="clear" w:color="auto" w:fill="auto"/>
          </w:tcPr>
          <w:p w:rsidR="00B9337D" w:rsidRPr="00375384" w:rsidRDefault="00B9337D" w:rsidP="00B9337D">
            <w:pPr>
              <w:pStyle w:val="BodyTextIndent"/>
              <w:ind w:left="0" w:firstLine="0"/>
              <w:jc w:val="center"/>
              <w:rPr>
                <w:i/>
                <w:color w:val="000000"/>
                <w:sz w:val="24"/>
                <w:lang w:eastAsia="lv-LV"/>
              </w:rPr>
            </w:pPr>
            <w:r w:rsidRPr="00375384">
              <w:rPr>
                <w:i/>
                <w:color w:val="000000"/>
                <w:sz w:val="24"/>
                <w:lang w:eastAsia="lv-LV"/>
              </w:rPr>
              <w:t>498.01</w:t>
            </w:r>
          </w:p>
        </w:tc>
      </w:tr>
    </w:tbl>
    <w:p w:rsidR="006A2786" w:rsidRDefault="006A2786" w:rsidP="006A2786">
      <w:pPr>
        <w:pStyle w:val="BodyTextIndent"/>
        <w:spacing w:line="360" w:lineRule="auto"/>
        <w:ind w:left="926" w:firstLine="0"/>
      </w:pPr>
    </w:p>
    <w:p w:rsidR="006A2786" w:rsidRPr="00375384" w:rsidRDefault="006A2786" w:rsidP="006A2786">
      <w:pPr>
        <w:pStyle w:val="BodyTextIndent"/>
        <w:ind w:left="0" w:firstLine="0"/>
        <w:rPr>
          <w:bCs/>
          <w:sz w:val="24"/>
        </w:rPr>
      </w:pPr>
      <w:r w:rsidRPr="00375384">
        <w:rPr>
          <w:bCs/>
          <w:sz w:val="24"/>
        </w:rPr>
        <w:t xml:space="preserve">Ja uz iestāšanās brīdi AKKA/LAA personai iekasējusi atlīdzību, iestāšanās maksa tiek ieturēta no iekasētās atlīdzības. Ja atlīdzību AKKA/LAA nav iekasējusi, tad biedram iestāšanās maksa 1 mēneša laikā kopš iestāšanās brīža jāiemaksā AKKA/LAA kontā. </w:t>
      </w:r>
    </w:p>
    <w:p w:rsidR="006A2786" w:rsidRPr="00375384" w:rsidRDefault="006A2786" w:rsidP="006A2786">
      <w:pPr>
        <w:jc w:val="both"/>
        <w:rPr>
          <w:lang w:val="lv-LV"/>
        </w:rPr>
      </w:pPr>
    </w:p>
    <w:p w:rsidR="006A2786" w:rsidRPr="00375384" w:rsidRDefault="006A2786" w:rsidP="006A2786">
      <w:pPr>
        <w:pStyle w:val="BodyTextIndent"/>
        <w:tabs>
          <w:tab w:val="left" w:pos="1080"/>
        </w:tabs>
        <w:ind w:left="0" w:firstLine="0"/>
        <w:rPr>
          <w:bCs/>
          <w:sz w:val="24"/>
        </w:rPr>
      </w:pPr>
      <w:r w:rsidRPr="00375384">
        <w:rPr>
          <w:bCs/>
          <w:sz w:val="24"/>
        </w:rPr>
        <w:t>Biedra maksa AKKA/LAA biedriem par tekošo gadu tiek ieturēta no autoratlīdzības, ko AKKA/LAA iekasējusi konkrētajam biedram iepriekšējā gadā. Ja AKKA/LAA biedram iepriekšējā gadā atlīdzība nav iekasēta, biedra maksa jāiemaksā AKKA/LAA kontā līdz tekošā gada 1.martam.</w:t>
      </w:r>
    </w:p>
    <w:sectPr w:rsidR="006A2786" w:rsidRPr="00375384" w:rsidSect="0038588F">
      <w:footerReference w:type="default" r:id="rId7"/>
      <w:headerReference w:type="first" r:id="rId8"/>
      <w:footerReference w:type="first" r:id="rId9"/>
      <w:pgSz w:w="11906" w:h="16838"/>
      <w:pgMar w:top="1276" w:right="1469" w:bottom="851" w:left="1797"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24BA" w:rsidRDefault="006C24BA">
      <w:r>
        <w:separator/>
      </w:r>
    </w:p>
  </w:endnote>
  <w:endnote w:type="continuationSeparator" w:id="0">
    <w:p w:rsidR="006C24BA" w:rsidRDefault="006C24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00000000" w:usb2="00000000"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1F6" w:rsidRDefault="000251F6" w:rsidP="000251F6">
    <w:pPr>
      <w:pStyle w:val="Footer"/>
      <w:jc w:val="right"/>
    </w:pPr>
    <w:r>
      <w:rPr>
        <w:sz w:val="22"/>
        <w:lang w:val="lv-LV"/>
      </w:rPr>
      <w:t xml:space="preserve">Lapa </w:t>
    </w:r>
    <w:r>
      <w:rPr>
        <w:rStyle w:val="PageNumber"/>
        <w:sz w:val="22"/>
        <w:lang w:val="lv-LV"/>
      </w:rPr>
      <w:fldChar w:fldCharType="begin"/>
    </w:r>
    <w:r>
      <w:rPr>
        <w:rStyle w:val="PageNumber"/>
        <w:sz w:val="22"/>
        <w:lang w:val="lv-LV"/>
      </w:rPr>
      <w:instrText xml:space="preserve"> PAGE </w:instrText>
    </w:r>
    <w:r>
      <w:rPr>
        <w:rStyle w:val="PageNumber"/>
        <w:sz w:val="22"/>
        <w:lang w:val="lv-LV"/>
      </w:rPr>
      <w:fldChar w:fldCharType="separate"/>
    </w:r>
    <w:r w:rsidR="00D20C13">
      <w:rPr>
        <w:rStyle w:val="PageNumber"/>
        <w:noProof/>
        <w:sz w:val="22"/>
        <w:lang w:val="lv-LV"/>
      </w:rPr>
      <w:t>4</w:t>
    </w:r>
    <w:r>
      <w:rPr>
        <w:rStyle w:val="PageNumber"/>
        <w:sz w:val="22"/>
        <w:lang w:val="lv-LV"/>
      </w:rPr>
      <w:fldChar w:fldCharType="end"/>
    </w:r>
    <w:r>
      <w:rPr>
        <w:rStyle w:val="PageNumber"/>
        <w:sz w:val="22"/>
        <w:lang w:val="lv-LV"/>
      </w:rPr>
      <w:t xml:space="preserve"> no </w:t>
    </w:r>
    <w:r>
      <w:rPr>
        <w:rStyle w:val="PageNumber"/>
        <w:sz w:val="22"/>
        <w:lang w:val="lv-LV"/>
      </w:rPr>
      <w:fldChar w:fldCharType="begin"/>
    </w:r>
    <w:r>
      <w:rPr>
        <w:rStyle w:val="PageNumber"/>
        <w:sz w:val="22"/>
        <w:lang w:val="lv-LV"/>
      </w:rPr>
      <w:instrText xml:space="preserve"> NUMPAGES </w:instrText>
    </w:r>
    <w:r>
      <w:rPr>
        <w:rStyle w:val="PageNumber"/>
        <w:sz w:val="22"/>
        <w:lang w:val="lv-LV"/>
      </w:rPr>
      <w:fldChar w:fldCharType="separate"/>
    </w:r>
    <w:r w:rsidR="00D20C13">
      <w:rPr>
        <w:rStyle w:val="PageNumber"/>
        <w:noProof/>
        <w:sz w:val="22"/>
        <w:lang w:val="lv-LV"/>
      </w:rPr>
      <w:t>4</w:t>
    </w:r>
    <w:r>
      <w:rPr>
        <w:rStyle w:val="PageNumber"/>
        <w:sz w:val="22"/>
        <w:lang w:val="lv-LV"/>
      </w:rPr>
      <w:fldChar w:fldCharType="end"/>
    </w:r>
    <w:r>
      <w:rPr>
        <w:sz w:val="22"/>
        <w:lang w:val="lv-LV"/>
      </w:rPr>
      <w:t xml:space="preserve">                    </w:t>
    </w:r>
  </w:p>
  <w:p w:rsidR="000251F6" w:rsidRDefault="000251F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588F" w:rsidRDefault="0038588F" w:rsidP="0038588F">
    <w:pPr>
      <w:pStyle w:val="Footer"/>
      <w:jc w:val="right"/>
    </w:pPr>
    <w:r>
      <w:rPr>
        <w:sz w:val="22"/>
        <w:lang w:val="lv-LV"/>
      </w:rPr>
      <w:t xml:space="preserve">Lapa </w:t>
    </w:r>
    <w:r>
      <w:rPr>
        <w:rStyle w:val="PageNumber"/>
        <w:sz w:val="22"/>
        <w:lang w:val="lv-LV"/>
      </w:rPr>
      <w:fldChar w:fldCharType="begin"/>
    </w:r>
    <w:r>
      <w:rPr>
        <w:rStyle w:val="PageNumber"/>
        <w:sz w:val="22"/>
        <w:lang w:val="lv-LV"/>
      </w:rPr>
      <w:instrText xml:space="preserve"> PAGE </w:instrText>
    </w:r>
    <w:r>
      <w:rPr>
        <w:rStyle w:val="PageNumber"/>
        <w:sz w:val="22"/>
        <w:lang w:val="lv-LV"/>
      </w:rPr>
      <w:fldChar w:fldCharType="separate"/>
    </w:r>
    <w:r w:rsidR="00D20C13">
      <w:rPr>
        <w:rStyle w:val="PageNumber"/>
        <w:noProof/>
        <w:sz w:val="22"/>
        <w:lang w:val="lv-LV"/>
      </w:rPr>
      <w:t>1</w:t>
    </w:r>
    <w:r>
      <w:rPr>
        <w:rStyle w:val="PageNumber"/>
        <w:sz w:val="22"/>
        <w:lang w:val="lv-LV"/>
      </w:rPr>
      <w:fldChar w:fldCharType="end"/>
    </w:r>
    <w:r>
      <w:rPr>
        <w:rStyle w:val="PageNumber"/>
        <w:sz w:val="22"/>
        <w:lang w:val="lv-LV"/>
      </w:rPr>
      <w:t xml:space="preserve"> no </w:t>
    </w:r>
    <w:r>
      <w:rPr>
        <w:rStyle w:val="PageNumber"/>
        <w:sz w:val="22"/>
        <w:lang w:val="lv-LV"/>
      </w:rPr>
      <w:fldChar w:fldCharType="begin"/>
    </w:r>
    <w:r>
      <w:rPr>
        <w:rStyle w:val="PageNumber"/>
        <w:sz w:val="22"/>
        <w:lang w:val="lv-LV"/>
      </w:rPr>
      <w:instrText xml:space="preserve"> NUMPAGES </w:instrText>
    </w:r>
    <w:r>
      <w:rPr>
        <w:rStyle w:val="PageNumber"/>
        <w:sz w:val="22"/>
        <w:lang w:val="lv-LV"/>
      </w:rPr>
      <w:fldChar w:fldCharType="separate"/>
    </w:r>
    <w:r w:rsidR="00D20C13">
      <w:rPr>
        <w:rStyle w:val="PageNumber"/>
        <w:noProof/>
        <w:sz w:val="22"/>
        <w:lang w:val="lv-LV"/>
      </w:rPr>
      <w:t>1</w:t>
    </w:r>
    <w:r>
      <w:rPr>
        <w:rStyle w:val="PageNumber"/>
        <w:sz w:val="22"/>
        <w:lang w:val="lv-LV"/>
      </w:rPr>
      <w:fldChar w:fldCharType="end"/>
    </w:r>
    <w:r>
      <w:rPr>
        <w:sz w:val="22"/>
        <w:lang w:val="lv-LV"/>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24BA" w:rsidRDefault="006C24BA">
      <w:r>
        <w:separator/>
      </w:r>
    </w:p>
  </w:footnote>
  <w:footnote w:type="continuationSeparator" w:id="0">
    <w:p w:rsidR="006C24BA" w:rsidRDefault="006C24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FD4" w:rsidRDefault="00D20C13">
    <w:pPr>
      <w:pStyle w:val="Header"/>
      <w:tabs>
        <w:tab w:val="clear" w:pos="4153"/>
        <w:tab w:val="clear" w:pos="8306"/>
        <w:tab w:val="left" w:pos="1890"/>
      </w:tabs>
    </w:pPr>
    <w:r>
      <w:rPr>
        <w:noProof/>
        <w:sz w:val="22"/>
        <w:lang w:val="lv-LV" w:eastAsia="lv-LV"/>
      </w:rPr>
      <w:drawing>
        <wp:inline distT="0" distB="0" distL="0" distR="0">
          <wp:extent cx="1543050" cy="600075"/>
          <wp:effectExtent l="19050" t="0" r="0" b="0"/>
          <wp:docPr id="1" name="Picture 1" descr="akka laa 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ka laa logo2"/>
                  <pic:cNvPicPr>
                    <a:picLocks noChangeAspect="1" noChangeArrowheads="1"/>
                  </pic:cNvPicPr>
                </pic:nvPicPr>
                <pic:blipFill>
                  <a:blip r:embed="rId1"/>
                  <a:srcRect/>
                  <a:stretch>
                    <a:fillRect/>
                  </a:stretch>
                </pic:blipFill>
                <pic:spPr bwMode="auto">
                  <a:xfrm>
                    <a:off x="0" y="0"/>
                    <a:ext cx="1543050" cy="600075"/>
                  </a:xfrm>
                  <a:prstGeom prst="rect">
                    <a:avLst/>
                  </a:prstGeom>
                  <a:noFill/>
                  <a:ln w="9525">
                    <a:noFill/>
                    <a:miter lim="800000"/>
                    <a:headEnd/>
                    <a:tailEnd/>
                  </a:ln>
                </pic:spPr>
              </pic:pic>
            </a:graphicData>
          </a:graphic>
        </wp:inline>
      </w:drawing>
    </w:r>
    <w:r w:rsidR="000E7FD4">
      <w:tab/>
    </w:r>
  </w:p>
  <w:p w:rsidR="0038588F" w:rsidRDefault="0038588F" w:rsidP="0038588F">
    <w:pPr>
      <w:pStyle w:val="Header"/>
      <w:jc w:val="center"/>
      <w:rPr>
        <w:b/>
        <w:bCs/>
        <w:sz w:val="22"/>
        <w:lang w:val="lv-LV"/>
      </w:rPr>
    </w:pPr>
  </w:p>
  <w:p w:rsidR="0038588F" w:rsidRDefault="0038588F" w:rsidP="0038588F">
    <w:pPr>
      <w:pStyle w:val="Header"/>
      <w:jc w:val="center"/>
      <w:rPr>
        <w:b/>
        <w:bCs/>
        <w:sz w:val="34"/>
        <w:lang w:val="lv-LV"/>
      </w:rPr>
    </w:pPr>
    <w:r w:rsidRPr="0038588F">
      <w:rPr>
        <w:b/>
        <w:bCs/>
        <w:sz w:val="34"/>
        <w:lang w:val="lv-LV"/>
      </w:rPr>
      <w:t>AKKA/LAA BIEDRU UZŅEMŠANAS KĀRTĪBA</w:t>
    </w:r>
  </w:p>
  <w:p w:rsidR="0038588F" w:rsidRPr="0038588F" w:rsidRDefault="0038588F" w:rsidP="0038588F">
    <w:pPr>
      <w:pStyle w:val="Header"/>
      <w:jc w:val="center"/>
      <w:rPr>
        <w:b/>
        <w:bCs/>
        <w:sz w:val="34"/>
        <w:lang w:val="lv-LV"/>
      </w:rPr>
    </w:pPr>
  </w:p>
  <w:p w:rsidR="000E7FD4" w:rsidRPr="0038588F" w:rsidRDefault="000E7FD4" w:rsidP="00375384">
    <w:pPr>
      <w:pStyle w:val="Header"/>
      <w:tabs>
        <w:tab w:val="clear" w:pos="4153"/>
        <w:tab w:val="clear" w:pos="8306"/>
        <w:tab w:val="left" w:pos="2277"/>
      </w:tabs>
      <w:rPr>
        <w:lang w:val="lv-LV"/>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761F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1B9561EA"/>
    <w:multiLevelType w:val="hybridMultilevel"/>
    <w:tmpl w:val="0D3052FA"/>
    <w:lvl w:ilvl="0" w:tplc="4308D48E">
      <w:start w:val="1"/>
      <w:numFmt w:val="decimal"/>
      <w:lvlText w:val="%1)"/>
      <w:lvlJc w:val="left"/>
      <w:pPr>
        <w:ind w:left="1080" w:hanging="360"/>
      </w:pPr>
      <w:rPr>
        <w:rFonts w:hint="default"/>
      </w:rPr>
    </w:lvl>
    <w:lvl w:ilvl="1" w:tplc="04260017">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nsid w:val="25EC79B6"/>
    <w:multiLevelType w:val="hybridMultilevel"/>
    <w:tmpl w:val="9C6664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31D441F6"/>
    <w:multiLevelType w:val="hybridMultilevel"/>
    <w:tmpl w:val="406CDE7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3D896A0D"/>
    <w:multiLevelType w:val="hybridMultilevel"/>
    <w:tmpl w:val="9C6664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413C594E"/>
    <w:multiLevelType w:val="hybridMultilevel"/>
    <w:tmpl w:val="64D8251A"/>
    <w:lvl w:ilvl="0" w:tplc="E200C48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4D6E3C85"/>
    <w:multiLevelType w:val="hybridMultilevel"/>
    <w:tmpl w:val="0D3052FA"/>
    <w:lvl w:ilvl="0" w:tplc="4308D48E">
      <w:start w:val="1"/>
      <w:numFmt w:val="decimal"/>
      <w:lvlText w:val="%1)"/>
      <w:lvlJc w:val="left"/>
      <w:pPr>
        <w:ind w:left="1080" w:hanging="360"/>
      </w:pPr>
      <w:rPr>
        <w:rFonts w:hint="default"/>
      </w:rPr>
    </w:lvl>
    <w:lvl w:ilvl="1" w:tplc="04260017">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nsid w:val="55B12C2D"/>
    <w:multiLevelType w:val="hybridMultilevel"/>
    <w:tmpl w:val="F96C5F9C"/>
    <w:lvl w:ilvl="0" w:tplc="F4A64202">
      <w:start w:val="1"/>
      <w:numFmt w:val="decimal"/>
      <w:pStyle w:val="Heading3"/>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56D8675E"/>
    <w:multiLevelType w:val="hybridMultilevel"/>
    <w:tmpl w:val="B368464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6B57279F"/>
    <w:multiLevelType w:val="hybridMultilevel"/>
    <w:tmpl w:val="B368464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70D32B0E"/>
    <w:multiLevelType w:val="hybridMultilevel"/>
    <w:tmpl w:val="D6F036C2"/>
    <w:lvl w:ilvl="0" w:tplc="4308D48E">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nsid w:val="7E6C4A5B"/>
    <w:multiLevelType w:val="hybridMultilevel"/>
    <w:tmpl w:val="49C815A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2"/>
  </w:num>
  <w:num w:numId="5">
    <w:abstractNumId w:val="11"/>
  </w:num>
  <w:num w:numId="6">
    <w:abstractNumId w:val="8"/>
  </w:num>
  <w:num w:numId="7">
    <w:abstractNumId w:val="10"/>
  </w:num>
  <w:num w:numId="8">
    <w:abstractNumId w:val="6"/>
  </w:num>
  <w:num w:numId="9">
    <w:abstractNumId w:val="1"/>
  </w:num>
  <w:num w:numId="10">
    <w:abstractNumId w:val="9"/>
  </w:num>
  <w:num w:numId="11">
    <w:abstractNumId w:val="5"/>
  </w:num>
  <w:num w:numId="12">
    <w:abstractNumId w:val="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footnotePr>
    <w:footnote w:id="-1"/>
    <w:footnote w:id="0"/>
  </w:footnotePr>
  <w:endnotePr>
    <w:endnote w:id="-1"/>
    <w:endnote w:id="0"/>
  </w:endnotePr>
  <w:compat/>
  <w:rsids>
    <w:rsidRoot w:val="00C27209"/>
    <w:rsid w:val="00010566"/>
    <w:rsid w:val="000251F6"/>
    <w:rsid w:val="000E7FD4"/>
    <w:rsid w:val="000F12CF"/>
    <w:rsid w:val="001A0A0B"/>
    <w:rsid w:val="00247DA1"/>
    <w:rsid w:val="00252B74"/>
    <w:rsid w:val="00330B76"/>
    <w:rsid w:val="00375384"/>
    <w:rsid w:val="0038588F"/>
    <w:rsid w:val="004768DF"/>
    <w:rsid w:val="0056796D"/>
    <w:rsid w:val="00621260"/>
    <w:rsid w:val="00691339"/>
    <w:rsid w:val="006A2786"/>
    <w:rsid w:val="006B7448"/>
    <w:rsid w:val="006C24BA"/>
    <w:rsid w:val="00783CC2"/>
    <w:rsid w:val="00810867"/>
    <w:rsid w:val="00820929"/>
    <w:rsid w:val="008D1375"/>
    <w:rsid w:val="008F3C5B"/>
    <w:rsid w:val="009A5FDE"/>
    <w:rsid w:val="009F355B"/>
    <w:rsid w:val="00A077C7"/>
    <w:rsid w:val="00B9337D"/>
    <w:rsid w:val="00C27209"/>
    <w:rsid w:val="00C308C2"/>
    <w:rsid w:val="00CB0B77"/>
    <w:rsid w:val="00D20C13"/>
    <w:rsid w:val="00E26D6A"/>
    <w:rsid w:val="00E346AC"/>
    <w:rsid w:val="00E7786C"/>
    <w:rsid w:val="00ED6EB4"/>
    <w:rsid w:val="00F16C0F"/>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jc w:val="right"/>
      <w:outlineLvl w:val="0"/>
    </w:pPr>
    <w:rPr>
      <w:i/>
      <w:sz w:val="20"/>
      <w:lang w:val="lv-LV"/>
    </w:rPr>
  </w:style>
  <w:style w:type="paragraph" w:styleId="Heading2">
    <w:name w:val="heading 2"/>
    <w:basedOn w:val="Normal"/>
    <w:next w:val="Normal"/>
    <w:qFormat/>
    <w:pPr>
      <w:keepNext/>
      <w:outlineLvl w:val="1"/>
    </w:pPr>
    <w:rPr>
      <w:b/>
      <w:bCs/>
      <w:iCs/>
      <w:lang w:val="lv-LV"/>
    </w:rPr>
  </w:style>
  <w:style w:type="paragraph" w:styleId="Heading3">
    <w:name w:val="heading 3"/>
    <w:basedOn w:val="Normal"/>
    <w:next w:val="Normal"/>
    <w:qFormat/>
    <w:rsid w:val="00E7786C"/>
    <w:pPr>
      <w:keepNext/>
      <w:numPr>
        <w:numId w:val="2"/>
      </w:numPr>
      <w:jc w:val="center"/>
      <w:outlineLvl w:val="2"/>
    </w:pPr>
    <w:rPr>
      <w:b/>
      <w:bCs/>
      <w:sz w:val="22"/>
      <w:lang w:val="lv-LV"/>
    </w:rPr>
  </w:style>
  <w:style w:type="paragraph" w:styleId="Heading4">
    <w:name w:val="heading 4"/>
    <w:basedOn w:val="Normal"/>
    <w:next w:val="Normal"/>
    <w:qFormat/>
    <w:pPr>
      <w:keepNext/>
      <w:jc w:val="center"/>
      <w:outlineLvl w:val="3"/>
    </w:pPr>
    <w:rPr>
      <w:b/>
      <w:bCs/>
      <w:lang w:val="lv-LV"/>
    </w:rPr>
  </w:style>
  <w:style w:type="paragraph" w:styleId="Heading5">
    <w:name w:val="heading 5"/>
    <w:basedOn w:val="Normal"/>
    <w:next w:val="Normal"/>
    <w:qFormat/>
    <w:pPr>
      <w:keepNext/>
      <w:outlineLvl w:val="4"/>
    </w:pPr>
    <w:rPr>
      <w:b/>
      <w:bCs/>
      <w:sz w:val="20"/>
      <w:lang w:val="lv-LV"/>
    </w:rPr>
  </w:style>
  <w:style w:type="paragraph" w:styleId="Heading6">
    <w:name w:val="heading 6"/>
    <w:basedOn w:val="Normal"/>
    <w:next w:val="Normal"/>
    <w:qFormat/>
    <w:pPr>
      <w:keepNext/>
      <w:jc w:val="center"/>
      <w:outlineLvl w:val="5"/>
    </w:pPr>
    <w:rPr>
      <w:b/>
      <w:sz w:val="20"/>
      <w:lang w:val="lv-LV"/>
    </w:rPr>
  </w:style>
  <w:style w:type="paragraph" w:styleId="Heading7">
    <w:name w:val="heading 7"/>
    <w:basedOn w:val="Normal"/>
    <w:next w:val="Normal"/>
    <w:qFormat/>
    <w:pPr>
      <w:keepNext/>
      <w:jc w:val="center"/>
      <w:outlineLvl w:val="6"/>
    </w:pPr>
    <w:rPr>
      <w:b/>
      <w:sz w:val="18"/>
      <w:lang w:val="lv-LV"/>
    </w:rPr>
  </w:style>
  <w:style w:type="paragraph" w:styleId="Heading8">
    <w:name w:val="heading 8"/>
    <w:basedOn w:val="Normal"/>
    <w:next w:val="Normal"/>
    <w:qFormat/>
    <w:pPr>
      <w:keepNext/>
      <w:ind w:left="792"/>
      <w:outlineLvl w:val="7"/>
    </w:pPr>
    <w:rPr>
      <w:b/>
      <w:bCs/>
      <w:lang w:val="lv-LV"/>
    </w:rPr>
  </w:style>
  <w:style w:type="paragraph" w:styleId="Heading9">
    <w:name w:val="heading 9"/>
    <w:basedOn w:val="Normal"/>
    <w:next w:val="Normal"/>
    <w:qFormat/>
    <w:pPr>
      <w:keepNext/>
      <w:spacing w:line="360" w:lineRule="auto"/>
      <w:ind w:left="1440"/>
      <w:jc w:val="right"/>
      <w:outlineLvl w:val="8"/>
    </w:pPr>
    <w:rPr>
      <w:b/>
      <w:bCs/>
      <w:i/>
      <w:iCs/>
      <w:lang w:val="lv-LV"/>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2"/>
      <w:lang w:val="lv-LV"/>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2">
    <w:name w:val="Body Text 2"/>
    <w:basedOn w:val="Normal"/>
    <w:semiHidden/>
    <w:rPr>
      <w:sz w:val="18"/>
      <w:lang w:val="lv-LV"/>
    </w:rPr>
  </w:style>
  <w:style w:type="paragraph" w:styleId="Title">
    <w:name w:val="Title"/>
    <w:basedOn w:val="Normal"/>
    <w:qFormat/>
    <w:pPr>
      <w:ind w:left="284"/>
      <w:jc w:val="center"/>
    </w:pPr>
    <w:rPr>
      <w:b/>
      <w:szCs w:val="20"/>
      <w:lang w:val="lv-LV"/>
    </w:rPr>
  </w:style>
  <w:style w:type="paragraph" w:styleId="BodyTextIndent">
    <w:name w:val="Body Text Indent"/>
    <w:basedOn w:val="Normal"/>
    <w:semiHidden/>
    <w:pPr>
      <w:ind w:left="2880" w:hanging="1980"/>
      <w:jc w:val="both"/>
    </w:pPr>
    <w:rPr>
      <w:sz w:val="20"/>
      <w:lang w:val="lv-LV"/>
    </w:rPr>
  </w:style>
  <w:style w:type="paragraph" w:styleId="BodyTextIndent2">
    <w:name w:val="Body Text Indent 2"/>
    <w:basedOn w:val="Normal"/>
    <w:semiHidden/>
    <w:pPr>
      <w:ind w:left="2700" w:hanging="360"/>
      <w:jc w:val="both"/>
    </w:pPr>
    <w:rPr>
      <w:sz w:val="20"/>
      <w:lang w:val="lv-LV"/>
    </w:rPr>
  </w:style>
  <w:style w:type="paragraph" w:styleId="BodyTextIndent3">
    <w:name w:val="Body Text Indent 3"/>
    <w:basedOn w:val="Normal"/>
    <w:semiHidden/>
    <w:pPr>
      <w:ind w:left="900"/>
      <w:jc w:val="both"/>
    </w:pPr>
    <w:rPr>
      <w:sz w:val="20"/>
      <w:lang w:val="lv-LV"/>
    </w:rPr>
  </w:style>
  <w:style w:type="paragraph" w:styleId="BodyText3">
    <w:name w:val="Body Text 3"/>
    <w:basedOn w:val="Normal"/>
    <w:semiHidden/>
    <w:rPr>
      <w:i/>
      <w:iCs/>
      <w:sz w:val="18"/>
      <w:lang w:val="lv-LV"/>
    </w:rPr>
  </w:style>
  <w:style w:type="paragraph" w:styleId="TOCHeading">
    <w:name w:val="TOC Heading"/>
    <w:basedOn w:val="Heading1"/>
    <w:next w:val="Normal"/>
    <w:uiPriority w:val="39"/>
    <w:semiHidden/>
    <w:unhideWhenUsed/>
    <w:qFormat/>
    <w:rsid w:val="00C27209"/>
    <w:pPr>
      <w:keepLines/>
      <w:spacing w:before="480" w:line="276" w:lineRule="auto"/>
      <w:jc w:val="left"/>
      <w:outlineLvl w:val="9"/>
    </w:pPr>
    <w:rPr>
      <w:rFonts w:ascii="Cambria" w:hAnsi="Cambria"/>
      <w:b/>
      <w:bCs/>
      <w:i w:val="0"/>
      <w:color w:val="365F91"/>
      <w:sz w:val="28"/>
      <w:szCs w:val="28"/>
      <w:lang w:val="en-US"/>
    </w:rPr>
  </w:style>
  <w:style w:type="paragraph" w:styleId="TOC2">
    <w:name w:val="toc 2"/>
    <w:basedOn w:val="Normal"/>
    <w:next w:val="Normal"/>
    <w:autoRedefine/>
    <w:uiPriority w:val="39"/>
    <w:unhideWhenUsed/>
    <w:rsid w:val="00C27209"/>
    <w:pPr>
      <w:ind w:left="240"/>
    </w:pPr>
  </w:style>
  <w:style w:type="character" w:styleId="Hyperlink">
    <w:name w:val="Hyperlink"/>
    <w:uiPriority w:val="99"/>
    <w:unhideWhenUsed/>
    <w:rsid w:val="00C2720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4012</Words>
  <Characters>2288</Characters>
  <Application>Microsoft Office Word</Application>
  <DocSecurity>4</DocSecurity>
  <Lines>19</Lines>
  <Paragraphs>12</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6288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kristine</dc:creator>
  <cp:lastModifiedBy>ieva kolmane</cp:lastModifiedBy>
  <cp:revision>2</cp:revision>
  <cp:lastPrinted>2012-03-20T09:50:00Z</cp:lastPrinted>
  <dcterms:created xsi:type="dcterms:W3CDTF">2016-11-08T10:16:00Z</dcterms:created>
  <dcterms:modified xsi:type="dcterms:W3CDTF">2016-11-08T10:16:00Z</dcterms:modified>
</cp:coreProperties>
</file>